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仿宋"/>
          <w:sz w:val="28"/>
          <w:szCs w:val="28"/>
        </w:rPr>
      </w:pPr>
    </w:p>
    <w:p>
      <w:pPr>
        <w:spacing w:after="156" w:afterLines="50" w:line="520" w:lineRule="exact"/>
        <w:jc w:val="center"/>
        <w:rPr>
          <w:rFonts w:ascii="Times New Roman" w:hAnsi="Times New Roman" w:eastAsia="方正小标宋简体" w:cs="Times New Roman"/>
          <w:b/>
          <w:sz w:val="52"/>
          <w:szCs w:val="52"/>
        </w:rPr>
      </w:pPr>
      <w:r>
        <w:rPr>
          <w:rFonts w:hint="eastAsia" w:ascii="Times New Roman" w:hAnsi="Times New Roman" w:eastAsia="方正小标宋简体" w:cs="Times New Roman"/>
          <w:b/>
          <w:sz w:val="52"/>
          <w:szCs w:val="52"/>
        </w:rPr>
        <w:t>学位授权点建设年度报告</w:t>
      </w:r>
    </w:p>
    <w:p>
      <w:pPr>
        <w:spacing w:after="156" w:afterLines="50" w:line="52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w:t>
      </w:r>
      <w:r>
        <w:rPr>
          <w:rFonts w:hint="eastAsia" w:ascii="Times New Roman" w:hAnsi="Times New Roman" w:eastAsia="楷体_GB2312" w:cs="Times New Roman"/>
          <w:b/>
          <w:sz w:val="30"/>
          <w:szCs w:val="30"/>
        </w:rPr>
        <w:t>学术学位</w:t>
      </w:r>
      <w:r>
        <w:rPr>
          <w:rFonts w:hint="eastAsia" w:ascii="Times New Roman" w:hAnsi="Times New Roman" w:eastAsia="方正小标宋简体" w:cs="Times New Roman"/>
          <w:b/>
          <w:sz w:val="44"/>
          <w:szCs w:val="44"/>
        </w:rPr>
        <w:t>）</w:t>
      </w:r>
    </w:p>
    <w:p>
      <w:pPr>
        <w:spacing w:after="156" w:afterLines="50" w:line="520" w:lineRule="exact"/>
        <w:rPr>
          <w:rFonts w:ascii="Times New Roman" w:hAnsi="Times New Roman" w:eastAsia="方正小标宋简体" w:cs="Times New Roman"/>
          <w:b/>
          <w:sz w:val="44"/>
          <w:szCs w:val="44"/>
        </w:rPr>
      </w:pPr>
    </w:p>
    <w:tbl>
      <w:tblPr>
        <w:tblStyle w:val="15"/>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520" w:lineRule="exac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2880" w:type="dxa"/>
            <w:tcBorders>
              <w:bottom w:val="single" w:color="auto" w:sz="4" w:space="0"/>
            </w:tcBorders>
            <w:vAlign w:val="center"/>
          </w:tcPr>
          <w:p>
            <w:pPr>
              <w:spacing w:line="520" w:lineRule="exact"/>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r>
              <w:rPr>
                <w:rFonts w:hint="eastAsia" w:ascii="Times New Roman" w:hAnsi="Times New Roman" w:eastAsia="楷体_GB2312" w:cs="Times New Roman"/>
                <w:b/>
                <w:sz w:val="30"/>
                <w:szCs w:val="30"/>
              </w:rPr>
              <w:t>浙江师范大学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520" w:lineRule="exact"/>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spacing w:line="520" w:lineRule="exact"/>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rPr>
              <w:t>10345</w:t>
            </w:r>
          </w:p>
        </w:tc>
      </w:tr>
    </w:tbl>
    <w:p>
      <w:pPr>
        <w:spacing w:line="520" w:lineRule="exact"/>
        <w:jc w:val="center"/>
        <w:rPr>
          <w:rFonts w:ascii="Times New Roman" w:hAnsi="Times New Roman" w:eastAsia="楷体_GB2312" w:cs="Times New Roman"/>
          <w:b/>
          <w:sz w:val="30"/>
          <w:szCs w:val="30"/>
        </w:rPr>
      </w:pPr>
    </w:p>
    <w:tbl>
      <w:tblPr>
        <w:tblStyle w:val="15"/>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520" w:lineRule="exact"/>
              <w:jc w:val="distribute"/>
              <w:rPr>
                <w:rFonts w:ascii="Times New Roman" w:hAnsi="Times New Roman" w:eastAsia="楷体_GB2312" w:cs="Times New Roman"/>
                <w:b/>
                <w:sz w:val="30"/>
                <w:szCs w:val="30"/>
              </w:rPr>
            </w:pPr>
            <w:r>
              <w:rPr>
                <w:rFonts w:hint="eastAsia" w:ascii="Times New Roman" w:hAnsi="Times New Roman" w:eastAsia="楷体_GB2312" w:cs="Times New Roman"/>
                <w:b/>
                <w:sz w:val="30"/>
                <w:szCs w:val="30"/>
              </w:rPr>
              <w:t>一级学科</w:t>
            </w:r>
          </w:p>
        </w:tc>
        <w:tc>
          <w:tcPr>
            <w:tcW w:w="2880" w:type="dxa"/>
            <w:tcBorders>
              <w:bottom w:val="single" w:color="auto" w:sz="4" w:space="0"/>
            </w:tcBorders>
            <w:vAlign w:val="center"/>
          </w:tcPr>
          <w:p>
            <w:pPr>
              <w:spacing w:line="520" w:lineRule="exact"/>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r>
              <w:rPr>
                <w:rFonts w:hint="eastAsia" w:ascii="Times New Roman" w:hAnsi="Times New Roman" w:eastAsia="楷体_GB2312" w:cs="Times New Roman"/>
                <w:b/>
                <w:sz w:val="30"/>
                <w:szCs w:val="30"/>
              </w:rPr>
              <w:t>马克思主义理论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520" w:lineRule="exact"/>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spacing w:line="520" w:lineRule="exact"/>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r>
              <w:rPr>
                <w:rFonts w:hint="eastAsia" w:ascii="Times New Roman" w:hAnsi="Times New Roman" w:eastAsia="楷体_GB2312" w:cs="Times New Roman"/>
                <w:b/>
                <w:sz w:val="30"/>
                <w:szCs w:val="30"/>
              </w:rPr>
              <w:t>030500</w:t>
            </w:r>
          </w:p>
        </w:tc>
      </w:tr>
    </w:tbl>
    <w:p>
      <w:pPr>
        <w:spacing w:line="520" w:lineRule="exact"/>
        <w:jc w:val="center"/>
        <w:rPr>
          <w:rFonts w:ascii="Times New Roman" w:hAnsi="Times New Roman" w:eastAsia="楷体_GB2312" w:cs="Times New Roman"/>
          <w:b/>
          <w:sz w:val="30"/>
          <w:szCs w:val="30"/>
        </w:rPr>
      </w:pPr>
    </w:p>
    <w:tbl>
      <w:tblPr>
        <w:tblStyle w:val="15"/>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520" w:lineRule="exac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2880" w:type="dxa"/>
            <w:tcBorders>
              <w:bottom w:val="single" w:color="auto" w:sz="4" w:space="0"/>
            </w:tcBorders>
            <w:vAlign w:val="center"/>
          </w:tcPr>
          <w:p>
            <w:pPr>
              <w:spacing w:line="520" w:lineRule="exact"/>
              <w:rPr>
                <w:rFonts w:ascii="Times New Roman" w:hAnsi="Times New Roman" w:eastAsia="楷体_GB2312" w:cs="Times New Roman"/>
                <w:b/>
                <w:sz w:val="30"/>
                <w:szCs w:val="30"/>
              </w:rPr>
            </w:pPr>
            <w:r>
              <w:rPr>
                <w:rFonts w:ascii="Times New Roman" w:hAnsi="Times New Roman" w:eastAsia="楷体_GB2312" w:cs="Times New Roman"/>
                <w:b/>
                <w:sz w:val="30"/>
                <w:szCs w:val="30"/>
              </w:rPr>
              <w:t>□  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spacing w:line="520" w:lineRule="exact"/>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spacing w:line="520" w:lineRule="exact"/>
              <w:rPr>
                <w:rFonts w:ascii="Times New Roman" w:hAnsi="Times New Roman" w:eastAsia="楷体_GB2312" w:cs="Times New Roman"/>
                <w:b/>
                <w:sz w:val="30"/>
                <w:szCs w:val="30"/>
              </w:rPr>
            </w:pPr>
            <w:r>
              <w:rPr>
                <w:rFonts w:ascii="Times New Roman" w:hAnsi="Times New Roman" w:eastAsia="楷体_GB2312" w:cs="Times New Roman"/>
                <w:b/>
                <w:sz w:val="30"/>
                <w:szCs w:val="30"/>
              </w:rPr>
              <w:t>□</w:t>
            </w:r>
            <w:r>
              <w:rPr>
                <w:rFonts w:ascii="Arial" w:hAnsi="Arial" w:eastAsia="楷体_GB2312" w:cs="Arial"/>
                <w:b/>
                <w:sz w:val="30"/>
                <w:szCs w:val="30"/>
              </w:rPr>
              <w:t>√</w:t>
            </w:r>
            <w:r>
              <w:rPr>
                <w:rFonts w:ascii="Times New Roman" w:hAnsi="Times New Roman" w:eastAsia="楷体_GB2312" w:cs="Times New Roman"/>
                <w:b/>
                <w:sz w:val="30"/>
                <w:szCs w:val="30"/>
              </w:rPr>
              <w:t>硕士</w:t>
            </w:r>
          </w:p>
        </w:tc>
      </w:tr>
    </w:tbl>
    <w:p>
      <w:pPr>
        <w:spacing w:line="520" w:lineRule="exact"/>
        <w:rPr>
          <w:rFonts w:ascii="Times New Roman" w:hAnsi="Times New Roman" w:eastAsia="楷体_GB2312" w:cs="Times New Roman"/>
          <w:b/>
          <w:sz w:val="30"/>
          <w:szCs w:val="30"/>
        </w:rPr>
      </w:pPr>
    </w:p>
    <w:p>
      <w:pPr>
        <w:spacing w:line="520" w:lineRule="exact"/>
        <w:jc w:val="center"/>
        <w:rPr>
          <w:rFonts w:ascii="Times New Roman" w:hAnsi="Times New Roman" w:eastAsia="楷体_GB2312" w:cs="Times New Roman"/>
          <w:b/>
          <w:sz w:val="30"/>
          <w:szCs w:val="30"/>
        </w:rPr>
      </w:pPr>
    </w:p>
    <w:p>
      <w:pPr>
        <w:spacing w:line="520" w:lineRule="exact"/>
        <w:jc w:val="center"/>
        <w:rPr>
          <w:rFonts w:ascii="Times New Roman" w:hAnsi="Times New Roman" w:eastAsia="楷体_GB2312" w:cs="Times New Roman"/>
          <w:b/>
          <w:sz w:val="30"/>
          <w:szCs w:val="30"/>
        </w:rPr>
      </w:pPr>
    </w:p>
    <w:p>
      <w:pPr>
        <w:spacing w:line="520" w:lineRule="exact"/>
        <w:jc w:val="center"/>
        <w:rPr>
          <w:rFonts w:ascii="Times New Roman" w:hAnsi="Times New Roman" w:eastAsia="楷体_GB2312" w:cs="Times New Roman"/>
          <w:b/>
          <w:sz w:val="30"/>
          <w:szCs w:val="30"/>
        </w:rPr>
      </w:pPr>
    </w:p>
    <w:p>
      <w:pPr>
        <w:spacing w:line="520" w:lineRule="exact"/>
        <w:jc w:val="center"/>
        <w:rPr>
          <w:rFonts w:ascii="Times New Roman" w:hAnsi="Times New Roman" w:eastAsia="楷体_GB2312" w:cs="Times New Roman"/>
          <w:b/>
          <w:sz w:val="30"/>
          <w:szCs w:val="30"/>
        </w:rPr>
      </w:pPr>
    </w:p>
    <w:p>
      <w:pPr>
        <w:spacing w:line="520" w:lineRule="exact"/>
        <w:jc w:val="center"/>
        <w:rPr>
          <w:rFonts w:ascii="Times New Roman" w:hAnsi="Times New Roman" w:eastAsia="楷体_GB2312" w:cs="Times New Roman"/>
          <w:b/>
          <w:sz w:val="30"/>
          <w:szCs w:val="30"/>
        </w:rPr>
      </w:pPr>
      <w:r>
        <w:rPr>
          <w:rFonts w:hint="eastAsia" w:ascii="Times New Roman" w:hAnsi="Times New Roman" w:eastAsia="楷体_GB2312" w:cs="Times New Roman"/>
          <w:b/>
          <w:sz w:val="30"/>
          <w:szCs w:val="30"/>
        </w:rPr>
        <w:t>2022</w:t>
      </w:r>
      <w:r>
        <w:rPr>
          <w:rFonts w:ascii="Times New Roman" w:hAnsi="Times New Roman" w:eastAsia="楷体_GB2312" w:cs="Times New Roman"/>
          <w:b/>
          <w:sz w:val="30"/>
          <w:szCs w:val="30"/>
        </w:rPr>
        <w:t>年</w:t>
      </w:r>
      <w:r>
        <w:rPr>
          <w:rFonts w:hint="eastAsia" w:ascii="Times New Roman" w:hAnsi="Times New Roman" w:eastAsia="楷体_GB2312" w:cs="Times New Roman"/>
          <w:b/>
          <w:sz w:val="30"/>
          <w:szCs w:val="30"/>
        </w:rPr>
        <w:t>3</w:t>
      </w:r>
      <w:r>
        <w:rPr>
          <w:rFonts w:ascii="Times New Roman" w:hAnsi="Times New Roman" w:eastAsia="楷体_GB2312" w:cs="Times New Roman"/>
          <w:b/>
          <w:sz w:val="30"/>
          <w:szCs w:val="30"/>
        </w:rPr>
        <w:t>月</w:t>
      </w:r>
      <w:r>
        <w:rPr>
          <w:rFonts w:hint="eastAsia" w:ascii="Times New Roman" w:hAnsi="Times New Roman" w:eastAsia="楷体_GB2312" w:cs="Times New Roman"/>
          <w:b/>
          <w:sz w:val="30"/>
          <w:szCs w:val="30"/>
        </w:rPr>
        <w:t>20</w:t>
      </w:r>
      <w:r>
        <w:rPr>
          <w:rFonts w:ascii="Times New Roman" w:hAnsi="Times New Roman" w:eastAsia="楷体_GB2312" w:cs="Times New Roman"/>
          <w:b/>
          <w:sz w:val="30"/>
          <w:szCs w:val="30"/>
        </w:rPr>
        <w:t>日</w:t>
      </w:r>
    </w:p>
    <w:p>
      <w:pPr>
        <w:spacing w:after="156" w:afterLines="50" w:line="520" w:lineRule="exact"/>
        <w:jc w:val="center"/>
        <w:rPr>
          <w:rFonts w:ascii="Times New Roman" w:hAnsi="Times New Roman" w:eastAsia="楷体_GB2312" w:cs="Times New Roman"/>
          <w:b/>
          <w:szCs w:val="32"/>
        </w:rPr>
        <w:sectPr>
          <w:footerReference r:id="rId3" w:type="default"/>
          <w:pgSz w:w="11906" w:h="16838"/>
          <w:pgMar w:top="1440" w:right="1800" w:bottom="1440" w:left="1800" w:header="851" w:footer="992" w:gutter="0"/>
          <w:pgNumType w:start="1"/>
          <w:cols w:space="425" w:num="1"/>
          <w:docGrid w:type="lines" w:linePitch="312" w:charSpace="0"/>
        </w:sectPr>
      </w:pPr>
    </w:p>
    <w:p>
      <w:pPr>
        <w:tabs>
          <w:tab w:val="left" w:pos="922"/>
        </w:tabs>
        <w:spacing w:before="207" w:line="520" w:lineRule="exact"/>
        <w:ind w:left="202"/>
        <w:jc w:val="center"/>
        <w:rPr>
          <w:b/>
          <w:sz w:val="36"/>
        </w:rPr>
      </w:pPr>
      <w:r>
        <w:rPr>
          <w:b/>
          <w:sz w:val="36"/>
        </w:rPr>
        <w:t>说</w:t>
      </w:r>
      <w:r>
        <w:rPr>
          <w:b/>
          <w:sz w:val="36"/>
        </w:rPr>
        <w:tab/>
      </w:r>
      <w:r>
        <w:rPr>
          <w:b/>
          <w:sz w:val="36"/>
        </w:rPr>
        <w:t>明</w:t>
      </w:r>
    </w:p>
    <w:p>
      <w:pPr>
        <w:spacing w:before="3" w:line="520" w:lineRule="exact"/>
        <w:rPr>
          <w:b/>
          <w:sz w:val="41"/>
        </w:rPr>
      </w:pPr>
    </w:p>
    <w:p>
      <w:pPr>
        <w:spacing w:line="520" w:lineRule="exact"/>
        <w:ind w:left="448" w:right="377" w:firstLine="559"/>
        <w:rPr>
          <w:sz w:val="28"/>
        </w:rPr>
      </w:pPr>
      <w:r>
        <w:rPr>
          <w:rFonts w:hint="eastAsia"/>
          <w:spacing w:val="-7"/>
          <w:sz w:val="28"/>
        </w:rPr>
        <w:t>一</w:t>
      </w:r>
      <w:r>
        <w:rPr>
          <w:spacing w:val="-7"/>
          <w:sz w:val="28"/>
        </w:rPr>
        <w:t>、一级学科名称及其代码</w:t>
      </w:r>
      <w:r>
        <w:rPr>
          <w:spacing w:val="-11"/>
          <w:sz w:val="28"/>
        </w:rPr>
        <w:t>按照国务院学位委员会、教育部</w:t>
      </w:r>
      <w:r>
        <w:rPr>
          <w:rFonts w:ascii="Times New Roman" w:eastAsia="Times New Roman"/>
          <w:spacing w:val="-3"/>
          <w:sz w:val="28"/>
        </w:rPr>
        <w:t xml:space="preserve">2011 </w:t>
      </w:r>
      <w:r>
        <w:rPr>
          <w:sz w:val="28"/>
        </w:rPr>
        <w:t>年颁布、</w:t>
      </w:r>
      <w:r>
        <w:rPr>
          <w:rFonts w:ascii="Times New Roman" w:eastAsia="Times New Roman"/>
          <w:sz w:val="28"/>
        </w:rPr>
        <w:t xml:space="preserve">2018 </w:t>
      </w:r>
      <w:r>
        <w:rPr>
          <w:sz w:val="28"/>
        </w:rPr>
        <w:t>年更新的《学位授予和人</w:t>
      </w:r>
      <w:r>
        <w:rPr>
          <w:spacing w:val="-3"/>
          <w:sz w:val="28"/>
        </w:rPr>
        <w:t>才培养学科目录》填写。</w:t>
      </w:r>
    </w:p>
    <w:p>
      <w:pPr>
        <w:spacing w:line="520" w:lineRule="exact"/>
        <w:ind w:left="448" w:right="380" w:firstLine="559"/>
        <w:rPr>
          <w:sz w:val="28"/>
        </w:rPr>
      </w:pPr>
      <w:r>
        <w:rPr>
          <w:rFonts w:hint="eastAsia"/>
          <w:spacing w:val="-6"/>
          <w:sz w:val="28"/>
        </w:rPr>
        <w:t>二</w:t>
      </w:r>
      <w:r>
        <w:rPr>
          <w:spacing w:val="-6"/>
          <w:sz w:val="28"/>
        </w:rPr>
        <w:t>、</w:t>
      </w:r>
      <w:r>
        <w:rPr>
          <w:rFonts w:hint="eastAsia"/>
          <w:spacing w:val="-6"/>
          <w:sz w:val="28"/>
        </w:rPr>
        <w:t>本报告为一级学科学位授权点建设年度报告，跨学院的一级学科由牵头学院负责撰写，相关学院应主动向牵头学院提供数据和支撑材料等。</w:t>
      </w:r>
    </w:p>
    <w:p>
      <w:pPr>
        <w:spacing w:line="520" w:lineRule="exact"/>
        <w:ind w:left="448" w:right="380" w:firstLine="559"/>
        <w:rPr>
          <w:spacing w:val="-6"/>
          <w:sz w:val="28"/>
        </w:rPr>
      </w:pPr>
      <w:r>
        <w:rPr>
          <w:rFonts w:hint="eastAsia"/>
          <w:spacing w:val="-6"/>
          <w:sz w:val="28"/>
        </w:rPr>
        <w:t>三</w:t>
      </w:r>
      <w:r>
        <w:rPr>
          <w:spacing w:val="-6"/>
          <w:sz w:val="28"/>
        </w:rPr>
        <w:t>、</w:t>
      </w:r>
      <w:r>
        <w:rPr>
          <w:sz w:val="28"/>
        </w:rPr>
        <w:t>除另有说明外</w:t>
      </w:r>
      <w:r>
        <w:rPr>
          <w:rFonts w:hint="eastAsia"/>
          <w:sz w:val="28"/>
        </w:rPr>
        <w:t>，本报告涉及的数据为本</w:t>
      </w:r>
      <w:r>
        <w:rPr>
          <w:rFonts w:hint="eastAsia"/>
          <w:spacing w:val="-6"/>
          <w:sz w:val="28"/>
        </w:rPr>
        <w:t>学位授权点上一年度的数据。</w:t>
      </w:r>
    </w:p>
    <w:p>
      <w:pPr>
        <w:spacing w:line="520" w:lineRule="exact"/>
        <w:ind w:left="448" w:right="380" w:firstLine="559"/>
        <w:rPr>
          <w:spacing w:val="-6"/>
          <w:sz w:val="28"/>
        </w:rPr>
      </w:pPr>
      <w:r>
        <w:rPr>
          <w:rFonts w:hint="eastAsia"/>
          <w:sz w:val="28"/>
        </w:rPr>
        <w:t>四</w:t>
      </w:r>
      <w:r>
        <w:rPr>
          <w:sz w:val="28"/>
        </w:rPr>
        <w:t>、</w:t>
      </w:r>
      <w:r>
        <w:rPr>
          <w:rFonts w:hint="eastAsia"/>
          <w:sz w:val="28"/>
        </w:rPr>
        <w:t>本报告涉及的师资队伍应确属本</w:t>
      </w:r>
      <w:r>
        <w:rPr>
          <w:rFonts w:hint="eastAsia"/>
          <w:spacing w:val="-6"/>
          <w:sz w:val="28"/>
        </w:rPr>
        <w:t>学位授权点的专任教师，不得整合其他学位授权点的专任教师。</w:t>
      </w:r>
    </w:p>
    <w:p>
      <w:pPr>
        <w:spacing w:line="520" w:lineRule="exact"/>
        <w:ind w:left="448" w:right="330" w:firstLine="559"/>
        <w:rPr>
          <w:sz w:val="28"/>
        </w:rPr>
      </w:pPr>
      <w:r>
        <w:rPr>
          <w:rFonts w:hint="eastAsia"/>
          <w:sz w:val="28"/>
        </w:rPr>
        <w:t>五</w:t>
      </w:r>
      <w:r>
        <w:rPr>
          <w:sz w:val="28"/>
        </w:rPr>
        <w:t>、本</w:t>
      </w:r>
      <w:r>
        <w:rPr>
          <w:rFonts w:hint="eastAsia"/>
          <w:sz w:val="28"/>
        </w:rPr>
        <w:t>报告</w:t>
      </w:r>
      <w:r>
        <w:rPr>
          <w:sz w:val="28"/>
        </w:rPr>
        <w:t>不能</w:t>
      </w:r>
      <w:r>
        <w:rPr>
          <w:rFonts w:hint="eastAsia"/>
          <w:sz w:val="28"/>
        </w:rPr>
        <w:t>涉及</w:t>
      </w:r>
      <w:r>
        <w:rPr>
          <w:sz w:val="28"/>
        </w:rPr>
        <w:t>任何涉密内容。涉密信息请按国家有关保密规定进行脱密，处理至可以公开后方可填写。</w:t>
      </w:r>
      <w:r>
        <w:rPr>
          <w:rFonts w:hint="eastAsia"/>
          <w:sz w:val="28"/>
        </w:rPr>
        <w:t>本报告将在学院官网上公布。</w:t>
      </w:r>
    </w:p>
    <w:p>
      <w:pPr>
        <w:spacing w:line="520" w:lineRule="exact"/>
        <w:ind w:left="448" w:right="330" w:firstLine="559"/>
        <w:rPr>
          <w:sz w:val="28"/>
        </w:rPr>
      </w:pPr>
      <w:r>
        <w:rPr>
          <w:rFonts w:hint="eastAsia"/>
          <w:sz w:val="28"/>
        </w:rPr>
        <w:t>六</w:t>
      </w:r>
      <w:r>
        <w:rPr>
          <w:sz w:val="28"/>
        </w:rPr>
        <w:t>、</w:t>
      </w:r>
      <w:r>
        <w:rPr>
          <w:rFonts w:hint="eastAsia"/>
          <w:sz w:val="28"/>
        </w:rPr>
        <w:t>本报告</w:t>
      </w:r>
      <w:r>
        <w:rPr>
          <w:sz w:val="28"/>
        </w:rPr>
        <w:t>将</w:t>
      </w:r>
      <w:r>
        <w:rPr>
          <w:rFonts w:hint="eastAsia"/>
          <w:sz w:val="28"/>
        </w:rPr>
        <w:t>作为</w:t>
      </w:r>
      <w:r>
        <w:rPr>
          <w:sz w:val="28"/>
        </w:rPr>
        <w:t>学位授权点</w:t>
      </w:r>
      <w:r>
        <w:rPr>
          <w:rFonts w:hint="eastAsia"/>
          <w:sz w:val="28"/>
        </w:rPr>
        <w:t>周期性合格</w:t>
      </w:r>
      <w:r>
        <w:rPr>
          <w:sz w:val="28"/>
        </w:rPr>
        <w:t>评估的</w:t>
      </w:r>
      <w:r>
        <w:rPr>
          <w:rFonts w:hint="eastAsia"/>
          <w:sz w:val="28"/>
        </w:rPr>
        <w:t>重要</w:t>
      </w:r>
      <w:r>
        <w:rPr>
          <w:sz w:val="28"/>
        </w:rPr>
        <w:t>参考材料之一。</w:t>
      </w:r>
    </w:p>
    <w:p>
      <w:pPr>
        <w:pStyle w:val="2"/>
        <w:ind w:firstLine="420"/>
      </w:pPr>
    </w:p>
    <w:p/>
    <w:p>
      <w:pPr>
        <w:pStyle w:val="2"/>
        <w:ind w:firstLine="420"/>
      </w:pPr>
    </w:p>
    <w:p>
      <w:r>
        <w:br w:type="page"/>
      </w:r>
    </w:p>
    <w:sdt>
      <w:sdtPr>
        <w:rPr>
          <w:rFonts w:asciiTheme="minorHAnsi" w:hAnsiTheme="minorHAnsi" w:eastAsiaTheme="minorEastAsia" w:cstheme="minorBidi"/>
          <w:color w:val="auto"/>
          <w:kern w:val="2"/>
          <w:sz w:val="21"/>
          <w:szCs w:val="24"/>
          <w:lang w:val="zh-CN"/>
        </w:rPr>
        <w:id w:val="-119616167"/>
        <w:docPartObj>
          <w:docPartGallery w:val="Table of Contents"/>
          <w:docPartUnique/>
        </w:docPartObj>
      </w:sdtPr>
      <w:sdtEndPr>
        <w:rPr>
          <w:rFonts w:ascii="Times New Roman" w:hAnsi="Times New Roman" w:eastAsia="仿宋" w:cs="Times New Roman"/>
          <w:color w:val="auto"/>
          <w:kern w:val="2"/>
          <w:sz w:val="28"/>
          <w:szCs w:val="28"/>
          <w:lang w:val="zh-CN"/>
        </w:rPr>
      </w:sdtEndPr>
      <w:sdtContent>
        <w:p>
          <w:pPr>
            <w:pStyle w:val="31"/>
            <w:jc w:val="center"/>
            <w:rPr>
              <w:rFonts w:ascii="方正小标宋简体" w:hAnsi="仿宋" w:eastAsia="方正小标宋简体"/>
              <w:color w:val="auto"/>
              <w:sz w:val="44"/>
              <w:szCs w:val="44"/>
              <w:lang w:val="zh-CN"/>
            </w:rPr>
          </w:pPr>
          <w:r>
            <w:rPr>
              <w:rFonts w:hint="eastAsia" w:ascii="方正小标宋简体" w:hAnsi="仿宋" w:eastAsia="方正小标宋简体"/>
              <w:color w:val="auto"/>
              <w:sz w:val="44"/>
              <w:szCs w:val="44"/>
              <w:lang w:val="zh-CN"/>
            </w:rPr>
            <w:t>目 录</w:t>
          </w:r>
        </w:p>
        <w:p>
          <w:pPr>
            <w:spacing w:line="500" w:lineRule="exact"/>
            <w:rPr>
              <w:sz w:val="28"/>
              <w:szCs w:val="28"/>
              <w:lang w:val="zh-CN"/>
            </w:rPr>
          </w:pPr>
        </w:p>
        <w:p>
          <w:pPr>
            <w:pStyle w:val="10"/>
            <w:tabs>
              <w:tab w:val="right" w:leader="dot" w:pos="10320"/>
            </w:tabs>
            <w:spacing w:line="500" w:lineRule="exact"/>
            <w:rPr>
              <w:rFonts w:ascii="Times New Roman" w:hAnsi="Times New Roman"/>
              <w:kern w:val="2"/>
              <w:sz w:val="28"/>
              <w:szCs w:val="28"/>
            </w:rPr>
          </w:pPr>
          <w:r>
            <w:rPr>
              <w:rFonts w:ascii="Times New Roman" w:hAnsi="Times New Roman" w:eastAsia="仿宋"/>
              <w:sz w:val="28"/>
              <w:szCs w:val="28"/>
            </w:rPr>
            <w:fldChar w:fldCharType="begin"/>
          </w:r>
          <w:r>
            <w:rPr>
              <w:rFonts w:ascii="Times New Roman" w:hAnsi="Times New Roman" w:eastAsia="仿宋"/>
              <w:sz w:val="28"/>
              <w:szCs w:val="28"/>
            </w:rPr>
            <w:instrText xml:space="preserve"> TOC \o "1-2" \h \z \u </w:instrText>
          </w:r>
          <w:r>
            <w:rPr>
              <w:rFonts w:ascii="Times New Roman" w:hAnsi="Times New Roman" w:eastAsia="仿宋"/>
              <w:sz w:val="28"/>
              <w:szCs w:val="28"/>
            </w:rPr>
            <w:fldChar w:fldCharType="separate"/>
          </w:r>
          <w:r>
            <w:fldChar w:fldCharType="begin"/>
          </w:r>
          <w:r>
            <w:instrText xml:space="preserve"> HYPERLINK \l "_Toc99784395" </w:instrText>
          </w:r>
          <w:r>
            <w:fldChar w:fldCharType="separate"/>
          </w:r>
          <w:r>
            <w:rPr>
              <w:rStyle w:val="18"/>
              <w:rFonts w:ascii="Times New Roman" w:hAnsi="Times New Roman" w:eastAsia="黑体"/>
              <w:sz w:val="28"/>
              <w:szCs w:val="28"/>
            </w:rPr>
            <w:t>一、学位授权点基本情况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_Toc99784395 \h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Times New Roman" w:hAnsi="Times New Roman"/>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"_Toc99784396" </w:instrText>
          </w:r>
          <w:r>
            <w:fldChar w:fldCharType="separate"/>
          </w:r>
          <w:r>
            <w:rPr>
              <w:rStyle w:val="18"/>
              <w:rFonts w:ascii="Times New Roman" w:hAnsi="Times New Roman" w:eastAsia="仿宋"/>
              <w:b w:val="0"/>
              <w:bCs w:val="0"/>
              <w:sz w:val="28"/>
              <w:szCs w:val="28"/>
            </w:rPr>
            <w:t>（一）学位授权点的历史沿革</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_Toc99784396 \h </w:instrText>
          </w:r>
          <w:r>
            <w:rPr>
              <w:rFonts w:ascii="Times New Roman" w:hAnsi="Times New Roman"/>
              <w:b w:val="0"/>
              <w:bCs w:val="0"/>
              <w:sz w:val="28"/>
              <w:szCs w:val="28"/>
            </w:rPr>
            <w:fldChar w:fldCharType="separate"/>
          </w:r>
          <w:r>
            <w:rPr>
              <w:rFonts w:ascii="Times New Roman" w:hAnsi="Times New Roman"/>
              <w:b w:val="0"/>
              <w:bCs w:val="0"/>
              <w:sz w:val="28"/>
              <w:szCs w:val="28"/>
            </w:rPr>
            <w:t>3</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"_Toc99784397" </w:instrText>
          </w:r>
          <w:r>
            <w:fldChar w:fldCharType="separate"/>
          </w:r>
          <w:r>
            <w:rPr>
              <w:rStyle w:val="18"/>
              <w:rFonts w:ascii="Times New Roman" w:hAnsi="Times New Roman" w:eastAsia="仿宋"/>
              <w:b w:val="0"/>
              <w:bCs w:val="0"/>
              <w:sz w:val="28"/>
              <w:szCs w:val="28"/>
            </w:rPr>
            <w:t>（二）学科方向与特色</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_Toc99784397 \h </w:instrText>
          </w:r>
          <w:r>
            <w:rPr>
              <w:rFonts w:ascii="Times New Roman" w:hAnsi="Times New Roman"/>
              <w:b w:val="0"/>
              <w:bCs w:val="0"/>
              <w:sz w:val="28"/>
              <w:szCs w:val="28"/>
            </w:rPr>
            <w:fldChar w:fldCharType="separate"/>
          </w:r>
          <w:r>
            <w:rPr>
              <w:rFonts w:ascii="Times New Roman" w:hAnsi="Times New Roman"/>
              <w:b w:val="0"/>
              <w:bCs w:val="0"/>
              <w:sz w:val="28"/>
              <w:szCs w:val="28"/>
            </w:rPr>
            <w:t>4</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"_Toc99784398" </w:instrText>
          </w:r>
          <w:r>
            <w:fldChar w:fldCharType="separate"/>
          </w:r>
          <w:r>
            <w:rPr>
              <w:rStyle w:val="18"/>
              <w:rFonts w:ascii="Times New Roman" w:hAnsi="Times New Roman" w:eastAsia="仿宋"/>
              <w:b w:val="0"/>
              <w:bCs w:val="0"/>
              <w:sz w:val="28"/>
              <w:szCs w:val="28"/>
            </w:rPr>
            <w:t>（三）师资队伍情况</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_Toc99784398 \h </w:instrText>
          </w:r>
          <w:r>
            <w:rPr>
              <w:rFonts w:ascii="Times New Roman" w:hAnsi="Times New Roman"/>
              <w:b w:val="0"/>
              <w:bCs w:val="0"/>
              <w:sz w:val="28"/>
              <w:szCs w:val="28"/>
            </w:rPr>
            <w:fldChar w:fldCharType="separate"/>
          </w:r>
          <w:r>
            <w:rPr>
              <w:rFonts w:ascii="Times New Roman" w:hAnsi="Times New Roman"/>
              <w:b w:val="0"/>
              <w:bCs w:val="0"/>
              <w:sz w:val="28"/>
              <w:szCs w:val="28"/>
            </w:rPr>
            <w:t>4</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"_Toc99784399" </w:instrText>
          </w:r>
          <w:r>
            <w:fldChar w:fldCharType="separate"/>
          </w:r>
          <w:r>
            <w:rPr>
              <w:rStyle w:val="18"/>
              <w:rFonts w:ascii="Times New Roman" w:hAnsi="Times New Roman" w:eastAsia="仿宋"/>
              <w:b w:val="0"/>
              <w:bCs w:val="0"/>
              <w:sz w:val="28"/>
              <w:szCs w:val="28"/>
            </w:rPr>
            <w:t>（四）科学研究情况</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_Toc99784399 \h </w:instrText>
          </w:r>
          <w:r>
            <w:rPr>
              <w:rFonts w:ascii="Times New Roman" w:hAnsi="Times New Roman"/>
              <w:b w:val="0"/>
              <w:bCs w:val="0"/>
              <w:sz w:val="28"/>
              <w:szCs w:val="28"/>
            </w:rPr>
            <w:fldChar w:fldCharType="separate"/>
          </w:r>
          <w:r>
            <w:rPr>
              <w:rFonts w:ascii="Times New Roman" w:hAnsi="Times New Roman"/>
              <w:b w:val="0"/>
              <w:bCs w:val="0"/>
              <w:sz w:val="28"/>
              <w:szCs w:val="28"/>
            </w:rPr>
            <w:t>6</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"_Toc99784400" </w:instrText>
          </w:r>
          <w:r>
            <w:fldChar w:fldCharType="separate"/>
          </w:r>
          <w:r>
            <w:rPr>
              <w:rStyle w:val="18"/>
              <w:rFonts w:ascii="Times New Roman" w:hAnsi="Times New Roman" w:eastAsia="仿宋"/>
              <w:b w:val="0"/>
              <w:bCs w:val="0"/>
              <w:sz w:val="28"/>
              <w:szCs w:val="28"/>
            </w:rPr>
            <w:t>（五）教学科研支撑</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_Toc99784400 \h </w:instrText>
          </w:r>
          <w:r>
            <w:rPr>
              <w:rFonts w:ascii="Times New Roman" w:hAnsi="Times New Roman"/>
              <w:b w:val="0"/>
              <w:bCs w:val="0"/>
              <w:sz w:val="28"/>
              <w:szCs w:val="28"/>
            </w:rPr>
            <w:fldChar w:fldCharType="separate"/>
          </w:r>
          <w:r>
            <w:rPr>
              <w:rFonts w:ascii="Times New Roman" w:hAnsi="Times New Roman"/>
              <w:b w:val="0"/>
              <w:bCs w:val="0"/>
              <w:sz w:val="28"/>
              <w:szCs w:val="28"/>
            </w:rPr>
            <w:t>6</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0"/>
            <w:tabs>
              <w:tab w:val="right" w:leader="dot" w:pos="10320"/>
            </w:tabs>
            <w:spacing w:line="500" w:lineRule="exact"/>
            <w:rPr>
              <w:rStyle w:val="18"/>
              <w:rFonts w:ascii="Times New Roman" w:hAnsi="Times New Roman" w:eastAsia="黑体"/>
            </w:rPr>
          </w:pPr>
          <w:r>
            <w:fldChar w:fldCharType="begin"/>
          </w:r>
          <w:r>
            <w:instrText xml:space="preserve"> HYPERLINK \l "_Toc99784401" </w:instrText>
          </w:r>
          <w:r>
            <w:fldChar w:fldCharType="separate"/>
          </w:r>
          <w:r>
            <w:rPr>
              <w:rStyle w:val="18"/>
              <w:rFonts w:ascii="Times New Roman" w:hAnsi="Times New Roman" w:eastAsia="黑体"/>
              <w:sz w:val="28"/>
              <w:szCs w:val="28"/>
            </w:rPr>
            <w:t>二、人才培养情况</w:t>
          </w:r>
          <w:r>
            <w:rPr>
              <w:rStyle w:val="18"/>
              <w:rFonts w:ascii="Times New Roman" w:hAnsi="Times New Roman" w:eastAsia="黑体"/>
            </w:rPr>
            <w:tab/>
          </w:r>
          <w:r>
            <w:rPr>
              <w:rStyle w:val="18"/>
              <w:rFonts w:ascii="Times New Roman" w:hAnsi="Times New Roman" w:eastAsia="黑体"/>
            </w:rPr>
            <w:fldChar w:fldCharType="begin"/>
          </w:r>
          <w:r>
            <w:rPr>
              <w:rStyle w:val="18"/>
              <w:rFonts w:ascii="Times New Roman" w:hAnsi="Times New Roman" w:eastAsia="黑体"/>
            </w:rPr>
            <w:instrText xml:space="preserve"> PAGEREF _Toc99784401 \h </w:instrText>
          </w:r>
          <w:r>
            <w:rPr>
              <w:rStyle w:val="18"/>
              <w:rFonts w:ascii="Times New Roman" w:hAnsi="Times New Roman" w:eastAsia="黑体"/>
            </w:rPr>
            <w:fldChar w:fldCharType="separate"/>
          </w:r>
          <w:r>
            <w:rPr>
              <w:rStyle w:val="18"/>
              <w:rFonts w:ascii="Times New Roman" w:hAnsi="Times New Roman" w:eastAsia="黑体"/>
            </w:rPr>
            <w:t>6</w:t>
          </w:r>
          <w:r>
            <w:rPr>
              <w:rStyle w:val="18"/>
              <w:rFonts w:ascii="Times New Roman" w:hAnsi="Times New Roman" w:eastAsia="黑体"/>
            </w:rPr>
            <w:fldChar w:fldCharType="end"/>
          </w:r>
          <w:r>
            <w:rPr>
              <w:rStyle w:val="18"/>
              <w:rFonts w:ascii="Times New Roman" w:hAnsi="Times New Roman" w:eastAsia="黑体"/>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"_Toc99784402" </w:instrText>
          </w:r>
          <w:r>
            <w:fldChar w:fldCharType="separate"/>
          </w:r>
          <w:r>
            <w:rPr>
              <w:rStyle w:val="18"/>
              <w:rFonts w:ascii="Times New Roman" w:hAnsi="Times New Roman" w:eastAsia="仿宋"/>
              <w:b w:val="0"/>
              <w:bCs w:val="0"/>
              <w:sz w:val="28"/>
              <w:szCs w:val="28"/>
            </w:rPr>
            <w:t>（一）研究生思政教育</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_Toc99784402 \h </w:instrText>
          </w:r>
          <w:r>
            <w:rPr>
              <w:rFonts w:ascii="Times New Roman" w:hAnsi="Times New Roman"/>
              <w:b w:val="0"/>
              <w:bCs w:val="0"/>
              <w:sz w:val="28"/>
              <w:szCs w:val="28"/>
            </w:rPr>
            <w:fldChar w:fldCharType="separate"/>
          </w:r>
          <w:r>
            <w:rPr>
              <w:rFonts w:ascii="Times New Roman" w:hAnsi="Times New Roman"/>
              <w:b w:val="0"/>
              <w:bCs w:val="0"/>
              <w:sz w:val="28"/>
              <w:szCs w:val="28"/>
            </w:rPr>
            <w:t>6</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"_Toc99784403" </w:instrText>
          </w:r>
          <w:r>
            <w:fldChar w:fldCharType="separate"/>
          </w:r>
          <w:r>
            <w:rPr>
              <w:rStyle w:val="18"/>
              <w:rFonts w:ascii="Times New Roman" w:hAnsi="Times New Roman" w:eastAsia="仿宋"/>
              <w:b w:val="0"/>
              <w:bCs w:val="0"/>
              <w:sz w:val="28"/>
              <w:szCs w:val="28"/>
            </w:rPr>
            <w:t>（二）导师指导</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_Toc99784403 \h </w:instrText>
          </w:r>
          <w:r>
            <w:rPr>
              <w:rFonts w:ascii="Times New Roman" w:hAnsi="Times New Roman"/>
              <w:b w:val="0"/>
              <w:bCs w:val="0"/>
              <w:sz w:val="28"/>
              <w:szCs w:val="28"/>
            </w:rPr>
            <w:fldChar w:fldCharType="separate"/>
          </w:r>
          <w:r>
            <w:rPr>
              <w:rFonts w:ascii="Times New Roman" w:hAnsi="Times New Roman"/>
              <w:b w:val="0"/>
              <w:bCs w:val="0"/>
              <w:sz w:val="28"/>
              <w:szCs w:val="28"/>
            </w:rPr>
            <w:t>7</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"_Toc99784404" </w:instrText>
          </w:r>
          <w:r>
            <w:fldChar w:fldCharType="separate"/>
          </w:r>
          <w:r>
            <w:rPr>
              <w:rStyle w:val="18"/>
              <w:rFonts w:ascii="Times New Roman" w:hAnsi="Times New Roman" w:eastAsia="仿宋"/>
              <w:b w:val="0"/>
              <w:bCs w:val="0"/>
              <w:sz w:val="28"/>
              <w:szCs w:val="28"/>
            </w:rPr>
            <w:t>（三）学术训练</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_Toc99784404 \h </w:instrText>
          </w:r>
          <w:r>
            <w:rPr>
              <w:rFonts w:ascii="Times New Roman" w:hAnsi="Times New Roman"/>
              <w:b w:val="0"/>
              <w:bCs w:val="0"/>
              <w:sz w:val="28"/>
              <w:szCs w:val="28"/>
            </w:rPr>
            <w:fldChar w:fldCharType="separate"/>
          </w:r>
          <w:r>
            <w:rPr>
              <w:rFonts w:ascii="Times New Roman" w:hAnsi="Times New Roman"/>
              <w:b w:val="0"/>
              <w:bCs w:val="0"/>
              <w:sz w:val="28"/>
              <w:szCs w:val="28"/>
            </w:rPr>
            <w:t>7</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"_Toc99784405" </w:instrText>
          </w:r>
          <w:r>
            <w:fldChar w:fldCharType="separate"/>
          </w:r>
          <w:r>
            <w:rPr>
              <w:rStyle w:val="18"/>
              <w:rFonts w:ascii="Times New Roman" w:hAnsi="Times New Roman" w:eastAsia="仿宋"/>
              <w:b w:val="0"/>
              <w:bCs w:val="0"/>
              <w:sz w:val="28"/>
              <w:szCs w:val="28"/>
            </w:rPr>
            <w:t>（四）学风建设</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_Toc99784405 \h </w:instrText>
          </w:r>
          <w:r>
            <w:rPr>
              <w:rFonts w:ascii="Times New Roman" w:hAnsi="Times New Roman"/>
              <w:b w:val="0"/>
              <w:bCs w:val="0"/>
              <w:sz w:val="28"/>
              <w:szCs w:val="28"/>
            </w:rPr>
            <w:fldChar w:fldCharType="separate"/>
          </w:r>
          <w:r>
            <w:rPr>
              <w:rFonts w:ascii="Times New Roman" w:hAnsi="Times New Roman"/>
              <w:b w:val="0"/>
              <w:bCs w:val="0"/>
              <w:sz w:val="28"/>
              <w:szCs w:val="28"/>
            </w:rPr>
            <w:t>7</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"_Toc99784406" </w:instrText>
          </w:r>
          <w:r>
            <w:fldChar w:fldCharType="separate"/>
          </w:r>
          <w:r>
            <w:rPr>
              <w:rStyle w:val="18"/>
              <w:rFonts w:ascii="Times New Roman" w:hAnsi="Times New Roman" w:eastAsia="仿宋"/>
              <w:b w:val="0"/>
              <w:bCs w:val="0"/>
              <w:sz w:val="28"/>
              <w:szCs w:val="28"/>
            </w:rPr>
            <w:t>（五）质量保证</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_Toc99784406 \h </w:instrText>
          </w:r>
          <w:r>
            <w:rPr>
              <w:rFonts w:ascii="Times New Roman" w:hAnsi="Times New Roman"/>
              <w:b w:val="0"/>
              <w:bCs w:val="0"/>
              <w:sz w:val="28"/>
              <w:szCs w:val="28"/>
            </w:rPr>
            <w:fldChar w:fldCharType="separate"/>
          </w:r>
          <w:r>
            <w:rPr>
              <w:rFonts w:ascii="Times New Roman" w:hAnsi="Times New Roman"/>
              <w:b w:val="0"/>
              <w:bCs w:val="0"/>
              <w:sz w:val="28"/>
              <w:szCs w:val="28"/>
            </w:rPr>
            <w:t>8</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"_Toc99784407" </w:instrText>
          </w:r>
          <w:r>
            <w:fldChar w:fldCharType="separate"/>
          </w:r>
          <w:r>
            <w:rPr>
              <w:rStyle w:val="18"/>
              <w:rFonts w:ascii="Times New Roman" w:hAnsi="Times New Roman" w:eastAsia="仿宋"/>
              <w:b w:val="0"/>
              <w:bCs w:val="0"/>
              <w:sz w:val="28"/>
              <w:szCs w:val="28"/>
            </w:rPr>
            <w:t>（六）管理服务</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_Toc99784407 \h </w:instrText>
          </w:r>
          <w:r>
            <w:rPr>
              <w:rFonts w:ascii="Times New Roman" w:hAnsi="Times New Roman"/>
              <w:b w:val="0"/>
              <w:bCs w:val="0"/>
              <w:sz w:val="28"/>
              <w:szCs w:val="28"/>
            </w:rPr>
            <w:fldChar w:fldCharType="separate"/>
          </w:r>
          <w:r>
            <w:rPr>
              <w:rFonts w:ascii="Times New Roman" w:hAnsi="Times New Roman"/>
              <w:b w:val="0"/>
              <w:bCs w:val="0"/>
              <w:sz w:val="28"/>
              <w:szCs w:val="28"/>
            </w:rPr>
            <w:t>8</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"_Toc99784408" </w:instrText>
          </w:r>
          <w:r>
            <w:fldChar w:fldCharType="separate"/>
          </w:r>
          <w:r>
            <w:rPr>
              <w:rStyle w:val="18"/>
              <w:rFonts w:ascii="Times New Roman" w:hAnsi="Times New Roman" w:eastAsia="仿宋"/>
              <w:b w:val="0"/>
              <w:bCs w:val="0"/>
              <w:sz w:val="28"/>
              <w:szCs w:val="28"/>
            </w:rPr>
            <w:t>（七）就业发展</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_Toc99784408 \h </w:instrText>
          </w:r>
          <w:r>
            <w:rPr>
              <w:rFonts w:ascii="Times New Roman" w:hAnsi="Times New Roman"/>
              <w:b w:val="0"/>
              <w:bCs w:val="0"/>
              <w:sz w:val="28"/>
              <w:szCs w:val="28"/>
            </w:rPr>
            <w:fldChar w:fldCharType="separate"/>
          </w:r>
          <w:r>
            <w:rPr>
              <w:rFonts w:ascii="Times New Roman" w:hAnsi="Times New Roman"/>
              <w:b w:val="0"/>
              <w:bCs w:val="0"/>
              <w:sz w:val="28"/>
              <w:szCs w:val="28"/>
            </w:rPr>
            <w:t>8</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0"/>
            <w:tabs>
              <w:tab w:val="right" w:leader="dot" w:pos="10320"/>
            </w:tabs>
            <w:spacing w:line="500" w:lineRule="exact"/>
            <w:rPr>
              <w:rFonts w:ascii="Times New Roman" w:hAnsi="Times New Roman"/>
              <w:kern w:val="2"/>
              <w:sz w:val="28"/>
              <w:szCs w:val="28"/>
            </w:rPr>
          </w:pPr>
          <w:r>
            <w:fldChar w:fldCharType="begin"/>
          </w:r>
          <w:r>
            <w:instrText xml:space="preserve"> HYPERLINK \l "_Toc99784409" </w:instrText>
          </w:r>
          <w:r>
            <w:fldChar w:fldCharType="separate"/>
          </w:r>
          <w:r>
            <w:rPr>
              <w:rStyle w:val="18"/>
              <w:rFonts w:ascii="Times New Roman" w:hAnsi="Times New Roman" w:eastAsia="黑体"/>
              <w:sz w:val="28"/>
              <w:szCs w:val="28"/>
            </w:rPr>
            <w:t>三、社会服务情况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_Toc99784409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"_Toc99784410" </w:instrText>
          </w:r>
          <w:r>
            <w:fldChar w:fldCharType="separate"/>
          </w:r>
          <w:r>
            <w:rPr>
              <w:rStyle w:val="18"/>
              <w:rFonts w:ascii="Times New Roman" w:hAnsi="Times New Roman" w:eastAsia="仿宋"/>
              <w:b w:val="0"/>
              <w:bCs w:val="0"/>
              <w:sz w:val="28"/>
              <w:szCs w:val="28"/>
            </w:rPr>
            <w:t>（一）科研成果转化情况</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_Toc99784410 \h </w:instrText>
          </w:r>
          <w:r>
            <w:rPr>
              <w:rFonts w:ascii="Times New Roman" w:hAnsi="Times New Roman"/>
              <w:b w:val="0"/>
              <w:bCs w:val="0"/>
              <w:sz w:val="28"/>
              <w:szCs w:val="28"/>
            </w:rPr>
            <w:fldChar w:fldCharType="separate"/>
          </w:r>
          <w:r>
            <w:rPr>
              <w:rFonts w:ascii="Times New Roman" w:hAnsi="Times New Roman"/>
              <w:b w:val="0"/>
              <w:bCs w:val="0"/>
              <w:sz w:val="28"/>
              <w:szCs w:val="28"/>
            </w:rPr>
            <w:t>8</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"_Toc99784411" </w:instrText>
          </w:r>
          <w:r>
            <w:fldChar w:fldCharType="separate"/>
          </w:r>
          <w:r>
            <w:rPr>
              <w:rStyle w:val="18"/>
              <w:rFonts w:ascii="Times New Roman" w:hAnsi="Times New Roman" w:eastAsia="仿宋"/>
              <w:b w:val="0"/>
              <w:bCs w:val="0"/>
              <w:sz w:val="28"/>
              <w:szCs w:val="28"/>
            </w:rPr>
            <w:t>（二）服务地方经济社会发展情况</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_Toc99784411 \h </w:instrText>
          </w:r>
          <w:r>
            <w:rPr>
              <w:rFonts w:ascii="Times New Roman" w:hAnsi="Times New Roman"/>
              <w:b w:val="0"/>
              <w:bCs w:val="0"/>
              <w:sz w:val="28"/>
              <w:szCs w:val="28"/>
            </w:rPr>
            <w:fldChar w:fldCharType="separate"/>
          </w:r>
          <w:r>
            <w:rPr>
              <w:rFonts w:ascii="Times New Roman" w:hAnsi="Times New Roman"/>
              <w:b w:val="0"/>
              <w:bCs w:val="0"/>
              <w:sz w:val="28"/>
              <w:szCs w:val="28"/>
            </w:rPr>
            <w:t>9</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1"/>
            <w:spacing w:line="500" w:lineRule="exact"/>
            <w:rPr>
              <w:rFonts w:ascii="Times New Roman" w:hAnsi="Times New Roman"/>
              <w:b w:val="0"/>
              <w:bCs w:val="0"/>
              <w:kern w:val="2"/>
              <w:sz w:val="28"/>
              <w:szCs w:val="28"/>
            </w:rPr>
          </w:pPr>
          <w:r>
            <w:fldChar w:fldCharType="begin"/>
          </w:r>
          <w:r>
            <w:instrText xml:space="preserve"> HYPERLINK \l "_Toc99784412" </w:instrText>
          </w:r>
          <w:r>
            <w:fldChar w:fldCharType="separate"/>
          </w:r>
          <w:r>
            <w:rPr>
              <w:rStyle w:val="18"/>
              <w:rFonts w:ascii="Times New Roman" w:hAnsi="Times New Roman" w:eastAsia="仿宋"/>
              <w:b w:val="0"/>
              <w:bCs w:val="0"/>
              <w:sz w:val="28"/>
              <w:szCs w:val="28"/>
            </w:rPr>
            <w:t>（三）助力发展地方文化情况</w:t>
          </w:r>
          <w:r>
            <w:rPr>
              <w:rFonts w:ascii="Times New Roman" w:hAnsi="Times New Roman"/>
              <w:b w:val="0"/>
              <w:bCs w:val="0"/>
              <w:sz w:val="28"/>
              <w:szCs w:val="28"/>
            </w:rPr>
            <w:tab/>
          </w: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PAGEREF _Toc99784412 \h </w:instrText>
          </w:r>
          <w:r>
            <w:rPr>
              <w:rFonts w:ascii="Times New Roman" w:hAnsi="Times New Roman"/>
              <w:b w:val="0"/>
              <w:bCs w:val="0"/>
              <w:sz w:val="28"/>
              <w:szCs w:val="28"/>
            </w:rPr>
            <w:fldChar w:fldCharType="separate"/>
          </w:r>
          <w:r>
            <w:rPr>
              <w:rFonts w:ascii="Times New Roman" w:hAnsi="Times New Roman"/>
              <w:b w:val="0"/>
              <w:bCs w:val="0"/>
              <w:sz w:val="28"/>
              <w:szCs w:val="28"/>
            </w:rPr>
            <w:t>9</w:t>
          </w:r>
          <w:r>
            <w:rPr>
              <w:rFonts w:ascii="Times New Roman" w:hAnsi="Times New Roman"/>
              <w:b w:val="0"/>
              <w:bCs w:val="0"/>
              <w:sz w:val="28"/>
              <w:szCs w:val="28"/>
            </w:rPr>
            <w:fldChar w:fldCharType="end"/>
          </w:r>
          <w:r>
            <w:rPr>
              <w:rFonts w:ascii="Times New Roman" w:hAnsi="Times New Roman"/>
              <w:b w:val="0"/>
              <w:bCs w:val="0"/>
              <w:sz w:val="28"/>
              <w:szCs w:val="28"/>
            </w:rPr>
            <w:fldChar w:fldCharType="end"/>
          </w:r>
        </w:p>
        <w:p>
          <w:pPr>
            <w:pStyle w:val="10"/>
            <w:tabs>
              <w:tab w:val="right" w:leader="dot" w:pos="10320"/>
            </w:tabs>
            <w:spacing w:line="500" w:lineRule="exact"/>
            <w:rPr>
              <w:rFonts w:ascii="Times New Roman" w:hAnsi="Times New Roman"/>
              <w:kern w:val="2"/>
              <w:sz w:val="28"/>
              <w:szCs w:val="28"/>
            </w:rPr>
          </w:pPr>
          <w:r>
            <w:fldChar w:fldCharType="begin"/>
          </w:r>
          <w:r>
            <w:instrText xml:space="preserve"> HYPERLINK \l "_Toc99784413" </w:instrText>
          </w:r>
          <w:r>
            <w:fldChar w:fldCharType="separate"/>
          </w:r>
          <w:r>
            <w:rPr>
              <w:rStyle w:val="18"/>
              <w:rFonts w:ascii="Times New Roman" w:hAnsi="Times New Roman" w:eastAsia="黑体"/>
              <w:sz w:val="28"/>
              <w:szCs w:val="28"/>
            </w:rPr>
            <w:t>四、学位点建设存在的主要问题</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_Toc99784413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10"/>
            <w:tabs>
              <w:tab w:val="right" w:leader="dot" w:pos="10320"/>
            </w:tabs>
            <w:spacing w:line="500" w:lineRule="exact"/>
            <w:rPr>
              <w:rFonts w:ascii="Times New Roman" w:hAnsi="Times New Roman"/>
              <w:kern w:val="2"/>
              <w:sz w:val="28"/>
              <w:szCs w:val="28"/>
            </w:rPr>
          </w:pPr>
          <w:r>
            <w:fldChar w:fldCharType="begin"/>
          </w:r>
          <w:r>
            <w:instrText xml:space="preserve"> HYPERLINK \l "_Toc99784414" </w:instrText>
          </w:r>
          <w:r>
            <w:fldChar w:fldCharType="separate"/>
          </w:r>
          <w:r>
            <w:rPr>
              <w:rStyle w:val="18"/>
              <w:rFonts w:ascii="Times New Roman" w:hAnsi="Times New Roman" w:eastAsia="黑体"/>
              <w:sz w:val="28"/>
              <w:szCs w:val="28"/>
            </w:rPr>
            <w:t>五、改进措施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_Toc99784414 \h </w:instrText>
          </w:r>
          <w:r>
            <w:rPr>
              <w:rFonts w:ascii="Times New Roman" w:hAnsi="Times New Roman"/>
              <w:sz w:val="28"/>
              <w:szCs w:val="28"/>
            </w:rPr>
            <w:fldChar w:fldCharType="separate"/>
          </w:r>
          <w:r>
            <w:rPr>
              <w:rFonts w:ascii="Times New Roman" w:hAnsi="Times New Roman"/>
              <w:sz w:val="28"/>
              <w:szCs w:val="28"/>
            </w:rPr>
            <w:t>10</w:t>
          </w:r>
          <w:r>
            <w:rPr>
              <w:rFonts w:ascii="Times New Roman" w:hAnsi="Times New Roman"/>
              <w:sz w:val="28"/>
              <w:szCs w:val="28"/>
            </w:rPr>
            <w:fldChar w:fldCharType="end"/>
          </w:r>
          <w:r>
            <w:rPr>
              <w:rFonts w:ascii="Times New Roman" w:hAnsi="Times New Roman"/>
              <w:sz w:val="28"/>
              <w:szCs w:val="28"/>
            </w:rPr>
            <w:fldChar w:fldCharType="end"/>
          </w:r>
        </w:p>
        <w:p>
          <w:pPr>
            <w:spacing w:line="500" w:lineRule="exact"/>
            <w:jc w:val="left"/>
            <w:rPr>
              <w:rFonts w:ascii="Times New Roman" w:hAnsi="Times New Roman" w:eastAsia="仿宋" w:cs="Times New Roman"/>
              <w:sz w:val="28"/>
              <w:szCs w:val="28"/>
            </w:rPr>
          </w:pPr>
          <w:r>
            <w:rPr>
              <w:rFonts w:ascii="Times New Roman" w:hAnsi="Times New Roman" w:eastAsia="仿宋" w:cs="Times New Roman"/>
              <w:kern w:val="0"/>
              <w:sz w:val="28"/>
              <w:szCs w:val="28"/>
            </w:rPr>
            <w:fldChar w:fldCharType="end"/>
          </w:r>
        </w:p>
      </w:sdtContent>
    </w:sdt>
    <w:p>
      <w:pPr>
        <w:spacing w:line="520" w:lineRule="exact"/>
        <w:rPr>
          <w:rFonts w:ascii="Times New Roman" w:hAnsi="Times New Roman" w:eastAsia="仿宋" w:cs="Times New Roman"/>
          <w:sz w:val="28"/>
          <w:szCs w:val="28"/>
        </w:rPr>
      </w:pPr>
    </w:p>
    <w:p>
      <w:pPr>
        <w:spacing w:line="520" w:lineRule="exact"/>
        <w:rPr>
          <w:rFonts w:ascii="Times New Roman" w:hAnsi="Times New Roman" w:cs="Times New Roman"/>
          <w:sz w:val="28"/>
        </w:rPr>
      </w:pPr>
    </w:p>
    <w:p>
      <w:pPr>
        <w:rPr>
          <w:rFonts w:ascii="Times New Roman" w:hAnsi="Times New Roman" w:cs="Times New Roman"/>
        </w:rPr>
      </w:pPr>
      <w:r>
        <w:rPr>
          <w:rFonts w:ascii="Times New Roman" w:hAnsi="Times New Roman" w:cs="Times New Roman"/>
        </w:rPr>
        <w:br w:type="page"/>
      </w:r>
    </w:p>
    <w:p>
      <w:pPr>
        <w:sectPr>
          <w:footerReference r:id="rId4" w:type="default"/>
          <w:pgSz w:w="11910" w:h="16840"/>
          <w:pgMar w:top="1280" w:right="780" w:bottom="280" w:left="800" w:header="823" w:footer="0" w:gutter="0"/>
          <w:pgNumType w:start="1"/>
          <w:cols w:space="720" w:num="1"/>
        </w:sectPr>
      </w:pPr>
    </w:p>
    <w:p>
      <w:pPr>
        <w:spacing w:line="520" w:lineRule="exact"/>
        <w:outlineLvl w:val="0"/>
        <w:rPr>
          <w:rFonts w:ascii="仿宋" w:hAnsi="仿宋" w:eastAsia="黑体" w:cs="仿宋"/>
          <w:sz w:val="28"/>
          <w:szCs w:val="28"/>
          <w:highlight w:val="yellow"/>
        </w:rPr>
      </w:pPr>
      <w:bookmarkStart w:id="0" w:name="_Toc99784395"/>
      <w:r>
        <w:rPr>
          <w:rFonts w:hint="eastAsia" w:ascii="黑体" w:hAnsi="黑体" w:eastAsia="黑体" w:cs="黑体"/>
          <w:sz w:val="32"/>
          <w:szCs w:val="32"/>
        </w:rPr>
        <w:t>一、</w:t>
      </w:r>
      <w:bookmarkStart w:id="1" w:name="_Hlk99780970"/>
      <w:r>
        <w:rPr>
          <w:rFonts w:hint="eastAsia" w:ascii="黑体" w:hAnsi="黑体" w:eastAsia="黑体" w:cs="黑体"/>
          <w:sz w:val="32"/>
          <w:szCs w:val="32"/>
        </w:rPr>
        <w:t>学位授权点基本情况</w:t>
      </w:r>
      <w:bookmarkEnd w:id="0"/>
    </w:p>
    <w:bookmarkEnd w:id="1"/>
    <w:p>
      <w:pPr>
        <w:spacing w:line="520" w:lineRule="exact"/>
        <w:ind w:firstLine="562" w:firstLineChars="200"/>
        <w:outlineLvl w:val="1"/>
        <w:rPr>
          <w:rFonts w:ascii="仿宋" w:hAnsi="仿宋" w:eastAsia="仿宋" w:cs="仿宋"/>
          <w:sz w:val="28"/>
          <w:szCs w:val="28"/>
        </w:rPr>
      </w:pPr>
      <w:bookmarkStart w:id="2" w:name="_Toc99784396"/>
      <w:bookmarkStart w:id="3" w:name="_Hlk99780991"/>
      <w:r>
        <w:rPr>
          <w:rFonts w:hint="eastAsia" w:ascii="仿宋" w:hAnsi="仿宋" w:eastAsia="仿宋" w:cs="仿宋"/>
          <w:b/>
          <w:bCs/>
          <w:sz w:val="28"/>
          <w:szCs w:val="28"/>
        </w:rPr>
        <w:t>（一）学位授权点的历史沿革</w:t>
      </w:r>
      <w:bookmarkEnd w:id="2"/>
    </w:p>
    <w:bookmarkEnd w:id="3"/>
    <w:p>
      <w:pPr>
        <w:spacing w:line="580" w:lineRule="exact"/>
        <w:ind w:firstLine="562" w:firstLineChars="200"/>
        <w:rPr>
          <w:rFonts w:ascii="仿宋" w:hAnsi="仿宋" w:eastAsia="仿宋"/>
          <w:sz w:val="28"/>
          <w:szCs w:val="28"/>
        </w:rPr>
      </w:pPr>
      <w:bookmarkStart w:id="4" w:name="_Toc99780902"/>
      <w:r>
        <w:rPr>
          <w:rFonts w:hint="eastAsia" w:ascii="仿宋" w:hAnsi="仿宋" w:eastAsia="仿宋"/>
          <w:b/>
          <w:bCs/>
          <w:sz w:val="28"/>
          <w:szCs w:val="28"/>
        </w:rPr>
        <w:t>历史悠久：</w:t>
      </w:r>
      <w:r>
        <w:rPr>
          <w:rFonts w:hint="eastAsia" w:ascii="仿宋" w:hAnsi="仿宋" w:eastAsia="仿宋"/>
          <w:sz w:val="28"/>
          <w:szCs w:val="28"/>
        </w:rPr>
        <w:t>本学科1993年获马克思主义理论和思想政治教育硕士点，200</w:t>
      </w:r>
      <w:r>
        <w:rPr>
          <w:rFonts w:hint="eastAsia" w:ascii="仿宋" w:hAnsi="仿宋" w:eastAsia="仿宋"/>
          <w:sz w:val="28"/>
          <w:szCs w:val="28"/>
          <w:lang w:val="en-US" w:eastAsia="zh-CN"/>
        </w:rPr>
        <w:t>6</w:t>
      </w:r>
      <w:r>
        <w:rPr>
          <w:rFonts w:hint="eastAsia" w:ascii="仿宋" w:hAnsi="仿宋" w:eastAsia="仿宋"/>
          <w:sz w:val="28"/>
          <w:szCs w:val="28"/>
        </w:rPr>
        <w:t>年为全国首批一级学科硕士点；2003年被评为省重点扶持学科，2005年被评为浙江省重点学科A类，2015年被评为省一流学科A类，2017年省重点高校重点建设学科。2017年获批省重点建设马克思主义学院。</w:t>
      </w:r>
      <w:bookmarkEnd w:id="4"/>
    </w:p>
    <w:p>
      <w:pPr>
        <w:spacing w:line="580" w:lineRule="exact"/>
        <w:ind w:firstLine="562" w:firstLineChars="200"/>
        <w:rPr>
          <w:rFonts w:ascii="仿宋" w:hAnsi="仿宋" w:eastAsia="仿宋"/>
          <w:sz w:val="28"/>
          <w:szCs w:val="28"/>
        </w:rPr>
      </w:pPr>
      <w:bookmarkStart w:id="5" w:name="_Toc99780903"/>
      <w:r>
        <w:rPr>
          <w:rFonts w:hint="eastAsia" w:ascii="仿宋" w:hAnsi="仿宋" w:eastAsia="仿宋"/>
          <w:b/>
          <w:sz w:val="28"/>
          <w:szCs w:val="28"/>
        </w:rPr>
        <w:t>梯队整齐：</w:t>
      </w:r>
      <w:bookmarkStart w:id="6" w:name="_Hlk85095872"/>
      <w:r>
        <w:rPr>
          <w:rFonts w:hint="eastAsia" w:ascii="仿宋" w:hAnsi="仿宋" w:eastAsia="仿宋"/>
          <w:sz w:val="28"/>
          <w:szCs w:val="28"/>
        </w:rPr>
        <w:t>现有专任骨干教师5</w:t>
      </w:r>
      <w:r>
        <w:rPr>
          <w:rFonts w:ascii="仿宋" w:hAnsi="仿宋" w:eastAsia="仿宋"/>
          <w:sz w:val="28"/>
          <w:szCs w:val="28"/>
        </w:rPr>
        <w:t>2</w:t>
      </w:r>
      <w:r>
        <w:rPr>
          <w:rFonts w:hint="eastAsia" w:ascii="仿宋" w:hAnsi="仿宋" w:eastAsia="仿宋"/>
          <w:sz w:val="28"/>
          <w:szCs w:val="28"/>
        </w:rPr>
        <w:t>人。拥有国家教指委以及国家社科基金评审专家等10人次，各类省级人才17人次。</w:t>
      </w:r>
      <w:bookmarkEnd w:id="5"/>
    </w:p>
    <w:bookmarkEnd w:id="6"/>
    <w:p>
      <w:pPr>
        <w:spacing w:line="580" w:lineRule="exact"/>
        <w:ind w:firstLine="562" w:firstLineChars="200"/>
        <w:rPr>
          <w:rFonts w:ascii="仿宋" w:hAnsi="仿宋" w:eastAsia="仿宋"/>
          <w:sz w:val="28"/>
          <w:szCs w:val="28"/>
        </w:rPr>
      </w:pPr>
      <w:bookmarkStart w:id="7" w:name="_Toc99780904"/>
      <w:r>
        <w:rPr>
          <w:rFonts w:hint="eastAsia" w:ascii="仿宋" w:hAnsi="仿宋" w:eastAsia="仿宋"/>
          <w:b/>
          <w:bCs/>
          <w:sz w:val="28"/>
          <w:szCs w:val="28"/>
        </w:rPr>
        <w:t>平台厚实：</w:t>
      </w:r>
      <w:r>
        <w:rPr>
          <w:rFonts w:hint="eastAsia" w:ascii="仿宋" w:hAnsi="仿宋" w:eastAsia="仿宋"/>
          <w:sz w:val="28"/>
          <w:szCs w:val="28"/>
        </w:rPr>
        <w:t>拥有浙江省习近平新时代中国特色社会主义思想研究中心浙江师范大学研究基地、浙学传承与地方治理现代化协同创新中心等多个高端科研平台。学科所依托专业（思想政治教育专业）为国家特色专业、全国首批“一流本科专业”建设点。</w:t>
      </w:r>
      <w:bookmarkEnd w:id="7"/>
    </w:p>
    <w:p>
      <w:pPr>
        <w:spacing w:line="580" w:lineRule="exact"/>
        <w:ind w:firstLine="562" w:firstLineChars="200"/>
        <w:rPr>
          <w:rFonts w:ascii="仿宋" w:hAnsi="仿宋" w:eastAsia="仿宋"/>
          <w:sz w:val="28"/>
          <w:szCs w:val="28"/>
        </w:rPr>
      </w:pPr>
      <w:bookmarkStart w:id="8" w:name="_Toc99780905"/>
      <w:r>
        <w:rPr>
          <w:rFonts w:hint="eastAsia" w:ascii="仿宋" w:hAnsi="仿宋" w:eastAsia="仿宋"/>
          <w:b/>
          <w:bCs/>
          <w:sz w:val="28"/>
          <w:szCs w:val="28"/>
        </w:rPr>
        <w:t>成果丰硕：</w:t>
      </w:r>
      <w:r>
        <w:rPr>
          <w:rFonts w:hint="eastAsia" w:ascii="仿宋" w:hAnsi="仿宋" w:eastAsia="仿宋"/>
          <w:sz w:val="28"/>
          <w:szCs w:val="28"/>
        </w:rPr>
        <w:t>近5年来获国家级社科基金21项（重大2项、重点2项），省部级科研项目50余项，获省部级科研奖9项；在《中国社会科学》《马克思主义研究》《哲学研究》《马克思主义与现实》等核心期刊发表论文200余篇、“三报一刊”25篇，出版著作32部。形成“三化一改”思政课教学培养模式，获</w:t>
      </w:r>
      <w:r>
        <w:rPr>
          <w:rFonts w:hint="eastAsia" w:ascii="仿宋" w:hAnsi="仿宋" w:eastAsia="仿宋"/>
          <w:sz w:val="28"/>
          <w:szCs w:val="28"/>
          <w:lang w:eastAsia="zh-CN"/>
        </w:rPr>
        <w:t>国家一流课程</w:t>
      </w:r>
      <w:r>
        <w:rPr>
          <w:rFonts w:hint="eastAsia" w:ascii="仿宋" w:hAnsi="仿宋" w:eastAsia="仿宋"/>
          <w:sz w:val="28"/>
          <w:szCs w:val="28"/>
          <w:lang w:val="en-US" w:eastAsia="zh-CN"/>
        </w:rPr>
        <w:t>1门、</w:t>
      </w:r>
      <w:r>
        <w:rPr>
          <w:rFonts w:hint="eastAsia" w:ascii="仿宋" w:hAnsi="仿宋" w:eastAsia="仿宋"/>
          <w:sz w:val="28"/>
          <w:szCs w:val="28"/>
        </w:rPr>
        <w:t>省一流课程6门、省级教学成果奖2项，教育部高校示范马院和优秀教研团队1个。</w:t>
      </w:r>
      <w:bookmarkEnd w:id="8"/>
    </w:p>
    <w:p>
      <w:pPr>
        <w:spacing w:line="580" w:lineRule="exact"/>
        <w:ind w:firstLine="562" w:firstLineChars="200"/>
        <w:rPr>
          <w:rFonts w:ascii="仿宋" w:hAnsi="仿宋" w:eastAsia="仿宋"/>
          <w:sz w:val="28"/>
          <w:szCs w:val="28"/>
        </w:rPr>
      </w:pPr>
      <w:bookmarkStart w:id="9" w:name="_Toc99780906"/>
      <w:r>
        <w:rPr>
          <w:rFonts w:hint="eastAsia" w:ascii="仿宋" w:hAnsi="仿宋" w:eastAsia="仿宋"/>
          <w:b/>
          <w:bCs/>
          <w:sz w:val="28"/>
          <w:szCs w:val="28"/>
        </w:rPr>
        <w:t>社会服务较强：</w:t>
      </w:r>
      <w:r>
        <w:rPr>
          <w:rFonts w:hint="eastAsia" w:ascii="仿宋" w:hAnsi="仿宋" w:eastAsia="仿宋"/>
          <w:sz w:val="28"/>
          <w:szCs w:val="28"/>
        </w:rPr>
        <w:t>学科结合所在区域的特色资源和社会需求，在传承与创新“浙学文化”打造新型高校智库、宣传与践行社会主义核心价值观、总结“浙江经验”讲好“浙江故事”、引领大中小思政理论课一体化建设、助力共同富裕示范区建设等方面，取得显著成效。</w:t>
      </w:r>
      <w:bookmarkEnd w:id="9"/>
    </w:p>
    <w:p>
      <w:pPr>
        <w:pStyle w:val="4"/>
        <w:rPr>
          <w:rFonts w:ascii="仿宋" w:hAnsi="仿宋" w:eastAsia="仿宋" w:cs="仿宋"/>
          <w:sz w:val="28"/>
          <w:szCs w:val="28"/>
        </w:rPr>
      </w:pPr>
      <w:bookmarkStart w:id="10" w:name="_Toc99784397"/>
      <w:r>
        <w:rPr>
          <w:rFonts w:hint="eastAsia" w:ascii="仿宋" w:hAnsi="仿宋" w:eastAsia="仿宋" w:cs="仿宋"/>
          <w:sz w:val="28"/>
          <w:szCs w:val="28"/>
        </w:rPr>
        <w:t>（二）学科方向与特色</w:t>
      </w:r>
      <w:bookmarkEnd w:id="10"/>
    </w:p>
    <w:tbl>
      <w:tblPr>
        <w:tblStyle w:val="25"/>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6"/>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6" w:type="dxa"/>
          </w:tcPr>
          <w:p>
            <w:pPr>
              <w:spacing w:line="460" w:lineRule="exact"/>
              <w:jc w:val="center"/>
              <w:rPr>
                <w:rFonts w:ascii="黑体" w:hAnsi="黑体" w:eastAsia="黑体" w:cs="Times New Roman"/>
                <w:sz w:val="24"/>
              </w:rPr>
            </w:pPr>
            <w:r>
              <w:rPr>
                <w:rFonts w:hint="eastAsia" w:ascii="黑体" w:hAnsi="黑体" w:eastAsia="黑体" w:cs="Times New Roman"/>
                <w:sz w:val="24"/>
              </w:rPr>
              <w:t>学科方向</w:t>
            </w:r>
          </w:p>
        </w:tc>
        <w:tc>
          <w:tcPr>
            <w:tcW w:w="5087" w:type="dxa"/>
          </w:tcPr>
          <w:p>
            <w:pPr>
              <w:spacing w:line="460" w:lineRule="exact"/>
              <w:jc w:val="center"/>
              <w:rPr>
                <w:rFonts w:ascii="黑体" w:hAnsi="黑体" w:eastAsia="黑体" w:cs="Times New Roman"/>
                <w:sz w:val="24"/>
              </w:rPr>
            </w:pPr>
            <w:r>
              <w:rPr>
                <w:rFonts w:hint="eastAsia" w:ascii="黑体" w:hAnsi="黑体" w:eastAsia="黑体" w:cs="Times New Roman"/>
                <w:sz w:val="24"/>
              </w:rPr>
              <w:t>特色与优势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3736" w:type="dxa"/>
            <w:vAlign w:val="center"/>
          </w:tcPr>
          <w:p>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方向一：</w:t>
            </w:r>
            <w:r>
              <w:rPr>
                <w:rFonts w:hint="eastAsia" w:ascii="Times New Roman" w:hAnsi="Times New Roman" w:eastAsia="仿宋_GB2312" w:cs="Times New Roman"/>
                <w:sz w:val="24"/>
              </w:rPr>
              <w:t>马克思主义基本原理</w:t>
            </w:r>
          </w:p>
        </w:tc>
        <w:tc>
          <w:tcPr>
            <w:tcW w:w="5087" w:type="dxa"/>
          </w:tcPr>
          <w:p>
            <w:pPr>
              <w:spacing w:line="46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聚焦公平正义观、生态文明观、共同富裕等，在阐扬马克思主义经典著作及基本原理的当代意义等方面取得较丰硕成果。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3736" w:type="dxa"/>
            <w:vAlign w:val="center"/>
          </w:tcPr>
          <w:p>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方向二：</w:t>
            </w:r>
            <w:r>
              <w:rPr>
                <w:rFonts w:hint="eastAsia" w:ascii="Times New Roman" w:hAnsi="Times New Roman" w:eastAsia="仿宋_GB2312" w:cs="Times New Roman"/>
                <w:sz w:val="24"/>
              </w:rPr>
              <w:t>马克思主义中国化研究</w:t>
            </w:r>
          </w:p>
        </w:tc>
        <w:tc>
          <w:tcPr>
            <w:tcW w:w="5087" w:type="dxa"/>
          </w:tcPr>
          <w:p>
            <w:pPr>
              <w:spacing w:line="46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聚焦习近平新时代中国特色社会主义思想在浙江的实践、</w:t>
            </w:r>
            <w:r>
              <w:rPr>
                <w:rFonts w:hint="eastAsia" w:ascii="Times New Roman" w:hAnsi="Times New Roman" w:eastAsia="仿宋_GB2312" w:cs="Times New Roman"/>
                <w:sz w:val="24"/>
                <w:lang w:eastAsia="zh-CN"/>
              </w:rPr>
              <w:t>共同富裕示范区建设、</w:t>
            </w:r>
            <w:r>
              <w:rPr>
                <w:rFonts w:hint="eastAsia" w:ascii="Times New Roman" w:hAnsi="Times New Roman" w:eastAsia="仿宋_GB2312" w:cs="Times New Roman"/>
                <w:sz w:val="24"/>
              </w:rPr>
              <w:t>中华优秀传统文化与马克思主义关系等研究，彰显“从地方经验到大国治理”的区域特色。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3736" w:type="dxa"/>
            <w:vAlign w:val="center"/>
          </w:tcPr>
          <w:p>
            <w:pPr>
              <w:spacing w:line="460" w:lineRule="exact"/>
              <w:jc w:val="left"/>
              <w:rPr>
                <w:rFonts w:ascii="Times New Roman" w:hAnsi="Times New Roman" w:eastAsia="仿宋_GB2312" w:cs="Times New Roman"/>
                <w:sz w:val="24"/>
              </w:rPr>
            </w:pPr>
            <w:r>
              <w:rPr>
                <w:rFonts w:ascii="Times New Roman" w:hAnsi="Times New Roman" w:eastAsia="仿宋_GB2312" w:cs="Times New Roman"/>
                <w:sz w:val="24"/>
              </w:rPr>
              <w:t>方向</w:t>
            </w:r>
            <w:r>
              <w:rPr>
                <w:rFonts w:hint="eastAsia" w:ascii="Times New Roman" w:hAnsi="Times New Roman" w:eastAsia="仿宋_GB2312" w:cs="Times New Roman"/>
                <w:sz w:val="24"/>
              </w:rPr>
              <w:t>三</w:t>
            </w:r>
            <w:r>
              <w:rPr>
                <w:rFonts w:ascii="Times New Roman" w:hAnsi="Times New Roman" w:eastAsia="仿宋_GB2312" w:cs="Times New Roman"/>
                <w:sz w:val="24"/>
              </w:rPr>
              <w:t>：</w:t>
            </w:r>
            <w:r>
              <w:rPr>
                <w:rFonts w:hint="eastAsia" w:ascii="Times New Roman" w:hAnsi="Times New Roman" w:eastAsia="仿宋_GB2312" w:cs="Times New Roman"/>
                <w:sz w:val="24"/>
              </w:rPr>
              <w:t>思想政治教育</w:t>
            </w:r>
          </w:p>
        </w:tc>
        <w:tc>
          <w:tcPr>
            <w:tcW w:w="5087" w:type="dxa"/>
          </w:tcPr>
          <w:p>
            <w:pPr>
              <w:spacing w:line="46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聚焦社会主义核心价值观培育、马克思主义伦理思想与新时代公民道德教育、大中小学思政理论课一体化建设研究，彰显立德树人的价值引领作用。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3736" w:type="dxa"/>
            <w:vAlign w:val="center"/>
          </w:tcPr>
          <w:p>
            <w:pPr>
              <w:spacing w:line="46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方向四：国外马克思主义研究</w:t>
            </w:r>
          </w:p>
        </w:tc>
        <w:tc>
          <w:tcPr>
            <w:tcW w:w="5087" w:type="dxa"/>
          </w:tcPr>
          <w:p>
            <w:pPr>
              <w:spacing w:line="460" w:lineRule="exact"/>
              <w:ind w:firstLine="240" w:firstLineChars="100"/>
              <w:rPr>
                <w:rFonts w:ascii="Times New Roman" w:hAnsi="Times New Roman" w:eastAsia="仿宋_GB2312" w:cs="Times New Roman"/>
                <w:sz w:val="24"/>
              </w:rPr>
            </w:pPr>
            <w:r>
              <w:rPr>
                <w:rFonts w:hint="eastAsia" w:ascii="Times New Roman" w:hAnsi="Times New Roman" w:eastAsia="仿宋_GB2312" w:cs="Times New Roman"/>
                <w:sz w:val="24"/>
              </w:rPr>
              <w:t>聚焦马克思主义拉美化、非洲马克思主义和社会主义，以及当代新左派马克思主义研究，拓展国外马克思主义研究新领域。</w:t>
            </w:r>
          </w:p>
        </w:tc>
      </w:tr>
    </w:tbl>
    <w:p>
      <w:pPr>
        <w:spacing w:line="520" w:lineRule="exact"/>
        <w:ind w:firstLine="562" w:firstLineChars="200"/>
        <w:outlineLvl w:val="1"/>
        <w:rPr>
          <w:rFonts w:ascii="仿宋" w:hAnsi="仿宋" w:eastAsia="仿宋" w:cs="仿宋"/>
          <w:sz w:val="28"/>
          <w:szCs w:val="28"/>
        </w:rPr>
      </w:pPr>
      <w:bookmarkStart w:id="11" w:name="_Toc99784398"/>
      <w:r>
        <w:rPr>
          <w:rFonts w:hint="eastAsia" w:ascii="仿宋" w:hAnsi="仿宋" w:eastAsia="仿宋" w:cs="仿宋"/>
          <w:b/>
          <w:bCs/>
          <w:sz w:val="28"/>
          <w:szCs w:val="28"/>
        </w:rPr>
        <w:t>（三）师资队伍情况</w:t>
      </w:r>
      <w:bookmarkEnd w:id="11"/>
    </w:p>
    <w:p>
      <w:pPr>
        <w:ind w:firstLine="560" w:firstLineChars="200"/>
        <w:rPr>
          <w:rFonts w:ascii="仿宋" w:hAnsi="仿宋" w:eastAsia="仿宋" w:cs="仿宋"/>
          <w:sz w:val="28"/>
          <w:szCs w:val="28"/>
        </w:rPr>
      </w:pPr>
      <w:r>
        <w:rPr>
          <w:rFonts w:hint="eastAsia" w:ascii="仿宋" w:hAnsi="仿宋" w:eastAsia="仿宋" w:cs="仿宋"/>
          <w:sz w:val="28"/>
          <w:szCs w:val="28"/>
        </w:rPr>
        <w:t>1.师德师风建设情况</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（1）师德师风建设机制与做法</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把师德师风建设作为教师队伍建设的首要任务，着力健全师德师风建设长效机制，用制度的力量确保师德师风建设常态化、机制化。</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——构建</w:t>
      </w:r>
      <w:r>
        <w:rPr>
          <w:rFonts w:hint="eastAsia" w:ascii="仿宋" w:hAnsi="仿宋" w:eastAsia="仿宋" w:cs="仿宋"/>
          <w:sz w:val="28"/>
          <w:szCs w:val="28"/>
        </w:rPr>
        <w:t>政治</w:t>
      </w:r>
      <w:r>
        <w:rPr>
          <w:rFonts w:ascii="仿宋" w:hAnsi="仿宋" w:eastAsia="仿宋" w:cs="仿宋"/>
          <w:sz w:val="28"/>
          <w:szCs w:val="28"/>
        </w:rPr>
        <w:t>铸魂的引领机制。健全学习制度，推进理论学习系统化、经常化，鼓励教工支部通过专题组织生活会、座谈会等方式开展师德师风建设活动。将师德规范作为教职工入党积极分子培训新任党支部书记培训等的重要内容，引导广大教师自觉运用马克思主义立场观点方法，认清中国和世界发展大势，增进对中国特色社会主义的政治认同、思想认同、理论认同、情感认同。</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构建切实有效的激励机制。严格教师准入制度，建立引人品行考察机制，多途径了解考察新进教师的学术和品行。将师德表现作为评奖评优的首要条件，在教师职称晋升，研究生导师遴选，骨干教师、学科带头人和学科领军人物选培，各类高层次人才评选中，对同等条件下师德表现突出者予以优先考虑。</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构建多方联动的协同机制。一是加强阵地建设。以教育教学和社会实践等活动为载体开展主题教育活动，引导广大教师守好讲台主阵地，将立德树人放在首要位置。二是加强宣传引导。开展师德师风标兵评选活动，通过学院教工例会、网站、微信等渠道，大力宣传师德师风典型，引导广大教师见贤思齐。三是加强师德监督。建立健全院领导、学科负责人教学督导制度、开展师德建设年度评议、师德状况调研，建立师德重大问题报告和师德舆情快速反应制度，及时研究加强和改进师德建设的措施。</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构建科学严格的惩戒机制。全面贯彻落实《新时代高校教师职业行为十项准则》等系列文件精神，制定师德行为负面清单，对于不良的思想或行动苗头，及时规劝纠正。严格落实师德违规通报制度，引导广大教师时刻自重、自省、自警、自励，坚守师德底线。</w:t>
      </w:r>
    </w:p>
    <w:p>
      <w:pPr>
        <w:pStyle w:val="2"/>
        <w:spacing w:line="520" w:lineRule="exact"/>
        <w:ind w:firstLine="560"/>
        <w:rPr>
          <w:rFonts w:ascii="仿宋" w:hAnsi="仿宋" w:eastAsia="仿宋" w:cs="仿宋"/>
          <w:sz w:val="28"/>
          <w:szCs w:val="28"/>
        </w:rPr>
      </w:pPr>
      <w:r>
        <w:rPr>
          <w:rFonts w:hint="eastAsia" w:ascii="仿宋" w:hAnsi="仿宋" w:eastAsia="仿宋" w:cs="仿宋"/>
          <w:sz w:val="28"/>
          <w:szCs w:val="28"/>
        </w:rPr>
        <w:t>（2）师德师风建设主要成效</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经过多年的建设，出现了一批师德师风的先进人物，其中3人获省教学名师称号，1人获“曾宪梓”奖，1人获省师德标兵，1人获省师德先进个人，2人获省“三育人”先进个人，1人获省高校党务工作者先进个人，4人获“陶行知奖”“郑晓仓奖”，7人次获“砺学奖教金”“我最喜爱的研究生导师”“心目中的好老师”等荣誉。</w:t>
      </w:r>
    </w:p>
    <w:p>
      <w:pPr>
        <w:spacing w:line="520" w:lineRule="exact"/>
        <w:ind w:firstLine="562" w:firstLineChars="200"/>
        <w:rPr>
          <w:rFonts w:ascii="仿宋" w:hAnsi="仿宋" w:eastAsia="仿宋" w:cs="仿宋"/>
          <w:sz w:val="28"/>
          <w:szCs w:val="28"/>
        </w:rPr>
      </w:pPr>
      <w:r>
        <w:rPr>
          <w:rFonts w:hint="eastAsia" w:ascii="仿宋" w:hAnsi="仿宋" w:eastAsia="仿宋" w:cs="仿宋"/>
          <w:b/>
          <w:sz w:val="28"/>
          <w:szCs w:val="28"/>
        </w:rPr>
        <w:t>2.专任教师基本情况</w:t>
      </w:r>
    </w:p>
    <w:p>
      <w:pPr>
        <w:pStyle w:val="7"/>
        <w:spacing w:line="52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现有专任骨干教师5</w:t>
      </w:r>
      <w:r>
        <w:rPr>
          <w:rFonts w:ascii="仿宋" w:hAnsi="仿宋" w:eastAsia="仿宋" w:cs="仿宋"/>
          <w:sz w:val="28"/>
          <w:szCs w:val="28"/>
        </w:rPr>
        <w:t>2</w:t>
      </w:r>
      <w:r>
        <w:rPr>
          <w:rFonts w:hint="eastAsia" w:ascii="仿宋" w:hAnsi="仿宋" w:eastAsia="仿宋" w:cs="仿宋"/>
          <w:sz w:val="28"/>
          <w:szCs w:val="28"/>
        </w:rPr>
        <w:t>人。拥有国家教指委、国家社科基金评审专家等10人次，各类省级人才17人次。拥有省部级以上教学、科研团队5个。</w:t>
      </w:r>
    </w:p>
    <w:p>
      <w:pPr>
        <w:pStyle w:val="4"/>
        <w:spacing w:before="0" w:after="0" w:line="415" w:lineRule="auto"/>
        <w:ind w:firstLine="281" w:firstLineChars="100"/>
        <w:rPr>
          <w:rFonts w:ascii="仿宋" w:hAnsi="仿宋" w:eastAsia="仿宋" w:cs="仿宋"/>
          <w:sz w:val="28"/>
          <w:szCs w:val="28"/>
        </w:rPr>
      </w:pPr>
      <w:bookmarkStart w:id="12" w:name="_Toc99784399"/>
      <w:r>
        <w:rPr>
          <w:rFonts w:hint="eastAsia" w:ascii="仿宋" w:hAnsi="仿宋" w:eastAsia="仿宋" w:cs="仿宋"/>
          <w:sz w:val="28"/>
          <w:szCs w:val="28"/>
        </w:rPr>
        <w:t>（四）科学研究情况</w:t>
      </w:r>
      <w:bookmarkEnd w:id="12"/>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2021年，发表二级及以上学术论文44篇，出版学术著作5部，获批各类项目26项（其中国家级项目5项，省部级项目12项），获得省部级科研成果奖3项。</w:t>
      </w:r>
    </w:p>
    <w:p>
      <w:pPr>
        <w:spacing w:line="520" w:lineRule="exact"/>
        <w:ind w:firstLine="562" w:firstLineChars="200"/>
        <w:outlineLvl w:val="1"/>
        <w:rPr>
          <w:rFonts w:ascii="仿宋" w:hAnsi="仿宋" w:eastAsia="仿宋" w:cs="仿宋"/>
          <w:sz w:val="28"/>
          <w:szCs w:val="28"/>
        </w:rPr>
      </w:pPr>
      <w:bookmarkStart w:id="13" w:name="_Toc99784400"/>
      <w:r>
        <w:rPr>
          <w:rFonts w:hint="eastAsia" w:ascii="仿宋" w:hAnsi="仿宋" w:eastAsia="仿宋" w:cs="仿宋"/>
          <w:b/>
          <w:bCs/>
          <w:sz w:val="28"/>
          <w:szCs w:val="28"/>
        </w:rPr>
        <w:t>（五）教学科研支撑</w:t>
      </w:r>
      <w:bookmarkEnd w:id="13"/>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拥有省部级教学科研平台7个（含共建），拥有各类专业相关藏书7万余册，订阅国内外专业 </w:t>
      </w:r>
      <w:r>
        <w:rPr>
          <w:rFonts w:ascii="仿宋" w:hAnsi="仿宋" w:eastAsia="仿宋" w:cs="仿宋"/>
          <w:sz w:val="28"/>
          <w:szCs w:val="28"/>
        </w:rPr>
        <w:t>235</w:t>
      </w:r>
      <w:r>
        <w:rPr>
          <w:rFonts w:hint="eastAsia" w:ascii="仿宋" w:hAnsi="仿宋" w:eastAsia="仿宋" w:cs="仿宋"/>
          <w:sz w:val="28"/>
          <w:szCs w:val="28"/>
        </w:rPr>
        <w:t>种，中文数据库4</w:t>
      </w:r>
      <w:r>
        <w:rPr>
          <w:rFonts w:ascii="仿宋" w:hAnsi="仿宋" w:eastAsia="仿宋" w:cs="仿宋"/>
          <w:sz w:val="28"/>
          <w:szCs w:val="28"/>
        </w:rPr>
        <w:t>3</w:t>
      </w:r>
      <w:r>
        <w:rPr>
          <w:rFonts w:hint="eastAsia" w:ascii="仿宋" w:hAnsi="仿宋" w:eastAsia="仿宋" w:cs="仿宋"/>
          <w:sz w:val="28"/>
          <w:szCs w:val="28"/>
        </w:rPr>
        <w:t>个，外文数据库3个，电子期刊读物3</w:t>
      </w:r>
      <w:r>
        <w:rPr>
          <w:rFonts w:ascii="仿宋" w:hAnsi="仿宋" w:eastAsia="仿宋" w:cs="仿宋"/>
          <w:sz w:val="28"/>
          <w:szCs w:val="28"/>
        </w:rPr>
        <w:t>00</w:t>
      </w:r>
      <w:r>
        <w:rPr>
          <w:rFonts w:hint="eastAsia" w:ascii="仿宋" w:hAnsi="仿宋" w:eastAsia="仿宋" w:cs="仿宋"/>
          <w:sz w:val="28"/>
          <w:szCs w:val="28"/>
        </w:rPr>
        <w:t>余种。拥有实验室面积累计1</w:t>
      </w:r>
      <w:r>
        <w:rPr>
          <w:rFonts w:ascii="仿宋" w:hAnsi="仿宋" w:eastAsia="仿宋" w:cs="仿宋"/>
          <w:sz w:val="28"/>
          <w:szCs w:val="28"/>
        </w:rPr>
        <w:t>20</w:t>
      </w:r>
      <w:r>
        <w:rPr>
          <w:rFonts w:hint="eastAsia" w:ascii="仿宋" w:hAnsi="仿宋" w:eastAsia="仿宋" w:cs="仿宋"/>
          <w:sz w:val="28"/>
          <w:szCs w:val="28"/>
        </w:rPr>
        <w:t>余平米，仪器设备总值3</w:t>
      </w:r>
      <w:r>
        <w:rPr>
          <w:rFonts w:ascii="仿宋" w:hAnsi="仿宋" w:eastAsia="仿宋" w:cs="仿宋"/>
          <w:sz w:val="28"/>
          <w:szCs w:val="28"/>
        </w:rPr>
        <w:t>3</w:t>
      </w:r>
      <w:r>
        <w:rPr>
          <w:rFonts w:hint="eastAsia" w:ascii="仿宋" w:hAnsi="仿宋" w:eastAsia="仿宋" w:cs="仿宋"/>
          <w:sz w:val="28"/>
          <w:szCs w:val="28"/>
        </w:rPr>
        <w:t>万余元。</w:t>
      </w:r>
    </w:p>
    <w:p>
      <w:pPr>
        <w:spacing w:line="520" w:lineRule="exact"/>
        <w:ind w:firstLine="643" w:firstLineChars="200"/>
        <w:outlineLvl w:val="0"/>
        <w:rPr>
          <w:rFonts w:eastAsia="黑体"/>
          <w:b/>
        </w:rPr>
      </w:pPr>
      <w:bookmarkStart w:id="14" w:name="_Toc99784401"/>
      <w:r>
        <w:rPr>
          <w:rFonts w:hint="eastAsia" w:cs="黑体"/>
          <w:b/>
          <w:sz w:val="32"/>
        </w:rPr>
        <w:t>二、人才培养情况</w:t>
      </w:r>
      <w:bookmarkEnd w:id="14"/>
    </w:p>
    <w:p>
      <w:pPr>
        <w:spacing w:line="520" w:lineRule="exact"/>
        <w:ind w:firstLine="562" w:firstLineChars="200"/>
        <w:outlineLvl w:val="1"/>
        <w:rPr>
          <w:rFonts w:ascii="仿宋" w:hAnsi="仿宋" w:eastAsia="仿宋" w:cs="仿宋"/>
          <w:sz w:val="28"/>
          <w:szCs w:val="28"/>
        </w:rPr>
      </w:pPr>
      <w:bookmarkStart w:id="15" w:name="_Toc99784402"/>
      <w:r>
        <w:rPr>
          <w:rFonts w:hint="eastAsia" w:ascii="仿宋" w:hAnsi="仿宋" w:eastAsia="仿宋" w:cs="仿宋"/>
          <w:b/>
          <w:bCs/>
          <w:sz w:val="28"/>
          <w:szCs w:val="28"/>
        </w:rPr>
        <w:t>（一）研究生思政教育</w:t>
      </w:r>
      <w:bookmarkEnd w:id="15"/>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围绕立德树人根本任务，把思政教育贯穿研究生培养全过程，推动思政工作融入研究生培养各环节。</w:t>
      </w:r>
    </w:p>
    <w:p>
      <w:pPr>
        <w:spacing w:line="520" w:lineRule="exact"/>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rPr>
        <w:t>强化意识形态阵地管理。</w:t>
      </w:r>
      <w:r>
        <w:rPr>
          <w:rFonts w:hint="eastAsia" w:ascii="仿宋" w:hAnsi="仿宋" w:eastAsia="仿宋" w:cs="仿宋"/>
          <w:sz w:val="28"/>
          <w:szCs w:val="28"/>
        </w:rPr>
        <w:t>把正确政治方向、价值取向摆在首位，把好研究生科研的政治方向关、学术质量关。强化各类研究生学术活动的人员、内容把关，严格执行论坛、讲坛、讲座、报告会、研讨会“一会一报”制。严格宣传阵地管理，规范自媒体管理和舆论引导，激励研究生积极参与网络文化建设，传播网络正能量。</w:t>
      </w:r>
      <w:r>
        <w:rPr>
          <w:rFonts w:hint="eastAsia" w:ascii="仿宋" w:hAnsi="仿宋" w:eastAsia="仿宋" w:cs="仿宋"/>
          <w:sz w:val="28"/>
          <w:szCs w:val="28"/>
          <w:lang w:eastAsia="zh-CN"/>
        </w:rPr>
        <w:t>《融媒体思政课》被推选为</w:t>
      </w:r>
      <w:r>
        <w:rPr>
          <w:rFonts w:hint="eastAsia" w:ascii="仿宋" w:hAnsi="仿宋" w:eastAsia="仿宋" w:cs="仿宋"/>
          <w:sz w:val="28"/>
          <w:szCs w:val="28"/>
          <w:lang w:val="en-US" w:eastAsia="zh-CN"/>
        </w:rPr>
        <w:t>2021年浙江省宣传思想文化工作创新项目（高校唯一）。</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强化研究生社会实践活动。</w:t>
      </w:r>
      <w:r>
        <w:rPr>
          <w:rFonts w:hint="eastAsia" w:ascii="仿宋" w:hAnsi="仿宋" w:eastAsia="仿宋" w:cs="仿宋"/>
          <w:sz w:val="28"/>
          <w:szCs w:val="28"/>
        </w:rPr>
        <w:t>强化研究生实践环节，将社会实践纳入研究生培养方案，作为研究生培养的必要环节。与企事业单位、部队、地方政府等共同建立社会实践基地，在省内外建立100余个社会实践基地，引导研究生积极参加“三下乡”、创新创业竞赛、“红色研学”等社会实践活动，鼓励研究生通过理论报告、支教等形式为经济社会发展服务，并在社会实践中受教育、长才干、做贡献。</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强化研究生心理健康教育工作。</w:t>
      </w:r>
      <w:r>
        <w:rPr>
          <w:rFonts w:hint="eastAsia" w:ascii="仿宋" w:hAnsi="仿宋" w:eastAsia="仿宋" w:cs="仿宋"/>
          <w:sz w:val="28"/>
          <w:szCs w:val="28"/>
        </w:rPr>
        <w:t>积极开展研究生心理健康教育、心理咨询和危机干预等工作。根据研究生的心理特点，开发有针对性的个体服务和团体辅导项目，帮助他们解决好情绪调节、环境适应、人格发展、人际交往、交友恋爱、择业就业等方面的困惑，增强心理调适能力，提高心理健康水平。</w:t>
      </w:r>
    </w:p>
    <w:p>
      <w:pPr>
        <w:spacing w:line="520" w:lineRule="exact"/>
        <w:ind w:firstLine="562" w:firstLineChars="200"/>
        <w:outlineLvl w:val="1"/>
        <w:rPr>
          <w:rFonts w:ascii="仿宋" w:hAnsi="仿宋" w:eastAsia="仿宋" w:cs="仿宋"/>
          <w:sz w:val="28"/>
          <w:szCs w:val="28"/>
        </w:rPr>
      </w:pPr>
      <w:bookmarkStart w:id="16" w:name="_Toc99784403"/>
      <w:r>
        <w:rPr>
          <w:rFonts w:hint="eastAsia" w:ascii="仿宋" w:hAnsi="仿宋" w:eastAsia="仿宋" w:cs="仿宋"/>
          <w:b/>
          <w:bCs/>
          <w:sz w:val="28"/>
          <w:szCs w:val="28"/>
        </w:rPr>
        <w:t>（二）导师指导</w:t>
      </w:r>
      <w:bookmarkEnd w:id="16"/>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全面落实“导师责任制”，按“四有好老师”“四个相统一”要求，将政治表现、师德师风、学术水平、指导精力投入、育人实效等纳入导师选聘和考核评价体系，对导师履职情况进行综合评价。以年度考核为依托，加强教学过程评价，实行导师自评与同行评价、学生评价、管理人员评价相结合，建立科学合理的评价机制。</w:t>
      </w:r>
    </w:p>
    <w:p>
      <w:pPr>
        <w:spacing w:line="520" w:lineRule="exact"/>
        <w:ind w:firstLine="562" w:firstLineChars="200"/>
        <w:outlineLvl w:val="1"/>
        <w:rPr>
          <w:rFonts w:ascii="仿宋" w:hAnsi="仿宋" w:eastAsia="仿宋" w:cs="仿宋"/>
          <w:sz w:val="28"/>
          <w:szCs w:val="28"/>
        </w:rPr>
      </w:pPr>
      <w:bookmarkStart w:id="17" w:name="_Toc99784404"/>
      <w:r>
        <w:rPr>
          <w:rFonts w:hint="eastAsia" w:ascii="仿宋" w:hAnsi="仿宋" w:eastAsia="仿宋" w:cs="仿宋"/>
          <w:b/>
          <w:bCs/>
          <w:sz w:val="28"/>
          <w:szCs w:val="28"/>
        </w:rPr>
        <w:t>（三）学术训练</w:t>
      </w:r>
      <w:bookmarkEnd w:id="17"/>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①设立研究生科研基金项目，鼓励研究生开展自定主题研究倒逼导师课题申报，提高研究生科研项目申报与研究能力；②设立“研究生读书报告”制度，每2-3周举行师生共同参与的读书报告制度，实行面对面交流指导，筑牢学生的专业知识；③实施“理论突破与创新”取向的优秀硕士论文培育项目，提高研究生科学研究的理论性与创新性；④推行“问题解决”实践取向的研究生学位论文制度，提高研究生实践问题的解决能力，促进实践性人才的培养；⑤加强研究生实践基地建设，形成了“国家-省-校”三级研究生联合培养基地77个，实现研究生实践基地的多数量、高质量与立体化；⑥引导研究生参与“浙师</w:t>
      </w:r>
      <w:r>
        <w:rPr>
          <w:rFonts w:hint="eastAsia" w:ascii="仿宋" w:hAnsi="仿宋" w:eastAsia="仿宋" w:cs="仿宋"/>
          <w:sz w:val="28"/>
          <w:szCs w:val="28"/>
          <w:lang w:val="en-US" w:eastAsia="zh-CN"/>
        </w:rPr>
        <w:t>·</w:t>
      </w:r>
      <w:r>
        <w:rPr>
          <w:rFonts w:hint="eastAsia" w:ascii="仿宋" w:hAnsi="仿宋" w:eastAsia="仿宋" w:cs="仿宋"/>
          <w:sz w:val="28"/>
          <w:szCs w:val="28"/>
        </w:rPr>
        <w:t>教育”创新创业培育项目，提高研究生创新创业能力，强化创新创业协同育人。</w:t>
      </w:r>
    </w:p>
    <w:p>
      <w:pPr>
        <w:pStyle w:val="4"/>
        <w:spacing w:before="0" w:after="0" w:line="415" w:lineRule="auto"/>
        <w:ind w:firstLine="281" w:firstLineChars="100"/>
        <w:rPr>
          <w:rFonts w:ascii="仿宋" w:hAnsi="仿宋" w:eastAsia="仿宋" w:cs="仿宋"/>
          <w:sz w:val="28"/>
          <w:szCs w:val="28"/>
        </w:rPr>
      </w:pPr>
      <w:bookmarkStart w:id="18" w:name="_Toc99784405"/>
      <w:r>
        <w:rPr>
          <w:rFonts w:hint="eastAsia" w:ascii="仿宋" w:hAnsi="仿宋" w:eastAsia="仿宋" w:cs="仿宋"/>
          <w:sz w:val="28"/>
          <w:szCs w:val="28"/>
        </w:rPr>
        <w:t>（四）学风建设</w:t>
      </w:r>
      <w:bookmarkEnd w:id="18"/>
    </w:p>
    <w:p>
      <w:pPr>
        <w:spacing w:line="520" w:lineRule="exact"/>
        <w:ind w:firstLine="560" w:firstLineChars="200"/>
        <w:rPr>
          <w:rFonts w:hint="default" w:eastAsia="仿宋"/>
          <w:lang w:val="en-US" w:eastAsia="zh-CN"/>
        </w:rPr>
      </w:pPr>
      <w:r>
        <w:rPr>
          <w:rFonts w:hint="eastAsia" w:ascii="仿宋" w:hAnsi="仿宋" w:eastAsia="仿宋" w:cs="仿宋"/>
          <w:sz w:val="28"/>
          <w:szCs w:val="28"/>
        </w:rPr>
        <w:t>注重名师引领，创建导学团队，加强文化育人，定期开展“师生读书会”“学术报告制度”，加强日常思政引领和学术道德规范。本年度共有7位研究生在国内外学术会议做报告，研究生在二级及以上期刊发表论文10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5人次</w:t>
      </w:r>
      <w:r>
        <w:rPr>
          <w:rFonts w:hint="eastAsia" w:ascii="仿宋" w:hAnsi="仿宋" w:eastAsia="仿宋" w:cs="仿宋"/>
          <w:sz w:val="28"/>
          <w:szCs w:val="28"/>
          <w:lang w:eastAsia="zh-CN"/>
        </w:rPr>
        <w:t>获中国国际“互联网</w:t>
      </w:r>
      <w:r>
        <w:rPr>
          <w:rFonts w:hint="eastAsia" w:ascii="仿宋" w:hAnsi="仿宋" w:eastAsia="仿宋" w:cs="仿宋"/>
          <w:sz w:val="28"/>
          <w:szCs w:val="28"/>
          <w:lang w:val="en-US" w:eastAsia="zh-CN"/>
        </w:rPr>
        <w:t>+”大赛铜奖、省“挑战杯”比赛三等奖等荣誉。</w:t>
      </w:r>
    </w:p>
    <w:p>
      <w:pPr>
        <w:spacing w:line="520" w:lineRule="exact"/>
        <w:ind w:firstLine="562" w:firstLineChars="200"/>
        <w:outlineLvl w:val="1"/>
        <w:rPr>
          <w:rFonts w:ascii="仿宋" w:hAnsi="仿宋" w:eastAsia="仿宋" w:cs="仿宋"/>
          <w:sz w:val="28"/>
          <w:szCs w:val="28"/>
        </w:rPr>
      </w:pPr>
      <w:bookmarkStart w:id="19" w:name="_Toc99784406"/>
      <w:r>
        <w:rPr>
          <w:rFonts w:hint="eastAsia" w:ascii="仿宋" w:hAnsi="仿宋" w:eastAsia="仿宋" w:cs="仿宋"/>
          <w:b/>
          <w:bCs/>
          <w:sz w:val="28"/>
          <w:szCs w:val="28"/>
        </w:rPr>
        <w:t>（五）质量保证</w:t>
      </w:r>
      <w:bookmarkEnd w:id="19"/>
    </w:p>
    <w:p>
      <w:pPr>
        <w:spacing w:line="520" w:lineRule="exact"/>
        <w:ind w:firstLine="560" w:firstLineChars="200"/>
        <w:rPr>
          <w:rFonts w:ascii="仿宋" w:hAnsi="仿宋" w:eastAsia="仿宋" w:cs="仿宋"/>
          <w:sz w:val="28"/>
          <w:szCs w:val="28"/>
          <w:lang w:val="zh-TW"/>
        </w:rPr>
      </w:pPr>
      <w:r>
        <w:rPr>
          <w:rFonts w:hint="eastAsia" w:ascii="仿宋" w:hAnsi="仿宋" w:eastAsia="仿宋" w:cs="仿宋"/>
          <w:sz w:val="28"/>
          <w:szCs w:val="28"/>
        </w:rPr>
        <w:t>①</w:t>
      </w:r>
      <w:r>
        <w:rPr>
          <w:rFonts w:ascii="仿宋" w:hAnsi="仿宋" w:eastAsia="仿宋" w:cs="仿宋"/>
          <w:sz w:val="28"/>
          <w:szCs w:val="28"/>
          <w:lang w:val="zh-TW"/>
        </w:rPr>
        <w:t>构建</w:t>
      </w:r>
      <w:r>
        <w:rPr>
          <w:rFonts w:ascii="仿宋" w:hAnsi="仿宋" w:eastAsia="仿宋" w:cs="仿宋"/>
          <w:sz w:val="28"/>
          <w:szCs w:val="28"/>
        </w:rPr>
        <w:t>“</w:t>
      </w:r>
      <w:r>
        <w:rPr>
          <w:rFonts w:ascii="仿宋" w:hAnsi="仿宋" w:eastAsia="仿宋" w:cs="仿宋"/>
          <w:sz w:val="28"/>
          <w:szCs w:val="28"/>
          <w:lang w:val="zh-TW"/>
        </w:rPr>
        <w:t>校内专职与校外兼职督导相结合</w:t>
      </w:r>
      <w:r>
        <w:rPr>
          <w:rFonts w:ascii="仿宋" w:hAnsi="仿宋" w:eastAsia="仿宋" w:cs="仿宋"/>
          <w:sz w:val="28"/>
          <w:szCs w:val="28"/>
        </w:rPr>
        <w:t>”</w:t>
      </w:r>
      <w:r>
        <w:rPr>
          <w:rFonts w:ascii="仿宋" w:hAnsi="仿宋" w:eastAsia="仿宋" w:cs="仿宋"/>
          <w:sz w:val="28"/>
          <w:szCs w:val="28"/>
          <w:lang w:val="zh-TW"/>
        </w:rPr>
        <w:t>的督导队伍体系，</w:t>
      </w:r>
      <w:r>
        <w:rPr>
          <w:rFonts w:hint="eastAsia" w:ascii="仿宋" w:hAnsi="仿宋" w:eastAsia="仿宋" w:cs="仿宋"/>
          <w:sz w:val="28"/>
          <w:szCs w:val="28"/>
          <w:lang w:val="zh-TW"/>
        </w:rPr>
        <w:t>培养</w:t>
      </w:r>
      <w:r>
        <w:rPr>
          <w:rFonts w:ascii="仿宋" w:hAnsi="仿宋" w:eastAsia="仿宋" w:cs="仿宋"/>
          <w:sz w:val="28"/>
          <w:szCs w:val="28"/>
          <w:lang w:val="zh-TW"/>
        </w:rPr>
        <w:t>质量兼备的研究生</w:t>
      </w:r>
      <w:r>
        <w:rPr>
          <w:rFonts w:hint="eastAsia" w:ascii="仿宋" w:hAnsi="仿宋" w:eastAsia="仿宋" w:cs="仿宋"/>
          <w:sz w:val="28"/>
          <w:szCs w:val="28"/>
          <w:lang w:val="zh-TW"/>
        </w:rPr>
        <w:t>教学</w:t>
      </w:r>
      <w:r>
        <w:rPr>
          <w:rFonts w:ascii="仿宋" w:hAnsi="仿宋" w:eastAsia="仿宋" w:cs="仿宋"/>
          <w:sz w:val="28"/>
          <w:szCs w:val="28"/>
          <w:lang w:val="zh-TW"/>
        </w:rPr>
        <w:t>督导队伍；</w:t>
      </w:r>
      <w:r>
        <w:rPr>
          <w:rFonts w:hint="eastAsia" w:ascii="仿宋" w:hAnsi="仿宋" w:eastAsia="仿宋" w:cs="仿宋"/>
          <w:sz w:val="28"/>
          <w:szCs w:val="28"/>
        </w:rPr>
        <w:t>②</w:t>
      </w:r>
      <w:r>
        <w:rPr>
          <w:rFonts w:ascii="仿宋" w:hAnsi="仿宋" w:eastAsia="仿宋" w:cs="仿宋"/>
          <w:sz w:val="28"/>
          <w:szCs w:val="28"/>
          <w:lang w:val="zh-TW"/>
        </w:rPr>
        <w:t>完善督导制度建设，形成周期性的人才培养方案研讨制度，确保人才培养方案、考核方案的适切性；</w:t>
      </w:r>
      <w:r>
        <w:rPr>
          <w:rFonts w:hint="eastAsia" w:ascii="仿宋" w:hAnsi="仿宋" w:eastAsia="仿宋" w:cs="仿宋"/>
          <w:sz w:val="28"/>
          <w:szCs w:val="28"/>
        </w:rPr>
        <w:t>③</w:t>
      </w:r>
      <w:r>
        <w:rPr>
          <w:rFonts w:ascii="仿宋" w:hAnsi="仿宋" w:eastAsia="仿宋" w:cs="仿宋"/>
          <w:sz w:val="28"/>
          <w:szCs w:val="28"/>
          <w:lang w:val="zh-TW"/>
        </w:rPr>
        <w:t>建立博硕士导师岗前培训的</w:t>
      </w:r>
      <w:r>
        <w:rPr>
          <w:rFonts w:ascii="仿宋" w:hAnsi="仿宋" w:eastAsia="仿宋" w:cs="仿宋"/>
          <w:sz w:val="28"/>
          <w:szCs w:val="28"/>
        </w:rPr>
        <w:t>“</w:t>
      </w:r>
      <w:r>
        <w:rPr>
          <w:rFonts w:ascii="仿宋" w:hAnsi="仿宋" w:eastAsia="仿宋" w:cs="仿宋"/>
          <w:sz w:val="28"/>
          <w:szCs w:val="28"/>
          <w:lang w:val="zh-TW"/>
        </w:rPr>
        <w:t>丽泽导师培训学校</w:t>
      </w:r>
      <w:r>
        <w:rPr>
          <w:rFonts w:ascii="仿宋" w:hAnsi="仿宋" w:eastAsia="仿宋" w:cs="仿宋"/>
          <w:sz w:val="28"/>
          <w:szCs w:val="28"/>
        </w:rPr>
        <w:t>”</w:t>
      </w:r>
      <w:r>
        <w:rPr>
          <w:rFonts w:ascii="仿宋" w:hAnsi="仿宋" w:eastAsia="仿宋" w:cs="仿宋"/>
          <w:sz w:val="28"/>
          <w:szCs w:val="28"/>
          <w:lang w:val="zh-TW"/>
        </w:rPr>
        <w:t>制度，引领带动导师</w:t>
      </w:r>
      <w:r>
        <w:rPr>
          <w:rFonts w:ascii="仿宋" w:hAnsi="仿宋" w:eastAsia="仿宋" w:cs="仿宋"/>
          <w:sz w:val="28"/>
          <w:szCs w:val="28"/>
        </w:rPr>
        <w:t>“</w:t>
      </w:r>
      <w:r>
        <w:rPr>
          <w:rFonts w:ascii="仿宋" w:hAnsi="仿宋" w:eastAsia="仿宋" w:cs="仿宋"/>
          <w:sz w:val="28"/>
          <w:szCs w:val="28"/>
          <w:lang w:val="zh-TW"/>
        </w:rPr>
        <w:t>全过程全方位</w:t>
      </w:r>
      <w:r>
        <w:rPr>
          <w:rFonts w:ascii="仿宋" w:hAnsi="仿宋" w:eastAsia="仿宋" w:cs="仿宋"/>
          <w:sz w:val="28"/>
          <w:szCs w:val="28"/>
        </w:rPr>
        <w:t>”</w:t>
      </w:r>
      <w:r>
        <w:rPr>
          <w:rFonts w:ascii="仿宋" w:hAnsi="仿宋" w:eastAsia="仿宋" w:cs="仿宋"/>
          <w:sz w:val="28"/>
          <w:szCs w:val="28"/>
          <w:lang w:val="zh-TW"/>
        </w:rPr>
        <w:t>培育研究生；</w:t>
      </w:r>
      <w:r>
        <w:rPr>
          <w:rFonts w:hint="eastAsia" w:ascii="仿宋" w:hAnsi="仿宋" w:eastAsia="仿宋" w:cs="仿宋"/>
          <w:sz w:val="28"/>
          <w:szCs w:val="28"/>
        </w:rPr>
        <w:t>④</w:t>
      </w:r>
      <w:r>
        <w:rPr>
          <w:rFonts w:ascii="仿宋" w:hAnsi="仿宋" w:eastAsia="仿宋" w:cs="仿宋"/>
          <w:sz w:val="28"/>
          <w:szCs w:val="28"/>
          <w:lang w:val="zh-TW"/>
        </w:rPr>
        <w:t>实施教学研讨周制度，深化研究生教学改革，确保研究生人才培养的质量；</w:t>
      </w:r>
      <w:r>
        <w:rPr>
          <w:rFonts w:hint="eastAsia" w:ascii="仿宋" w:hAnsi="仿宋" w:eastAsia="仿宋" w:cs="仿宋"/>
          <w:sz w:val="28"/>
          <w:szCs w:val="28"/>
        </w:rPr>
        <w:t>⑤</w:t>
      </w:r>
      <w:r>
        <w:rPr>
          <w:rFonts w:ascii="仿宋" w:hAnsi="仿宋" w:eastAsia="仿宋" w:cs="仿宋"/>
          <w:sz w:val="28"/>
          <w:szCs w:val="28"/>
          <w:lang w:val="zh-TW"/>
        </w:rPr>
        <w:t>建立健全研究生助教岗位制度，做好选拔、培训、评价、激励和反馈的全流程助教岗位管理，加强对研究生助教的岗前培训，确保</w:t>
      </w:r>
      <w:r>
        <w:rPr>
          <w:rFonts w:ascii="仿宋" w:hAnsi="仿宋" w:eastAsia="仿宋" w:cs="仿宋"/>
          <w:sz w:val="28"/>
          <w:szCs w:val="28"/>
        </w:rPr>
        <w:t>研究生</w:t>
      </w:r>
      <w:r>
        <w:rPr>
          <w:rFonts w:hint="eastAsia" w:ascii="仿宋" w:hAnsi="仿宋" w:eastAsia="仿宋" w:cs="仿宋"/>
          <w:sz w:val="28"/>
          <w:szCs w:val="28"/>
        </w:rPr>
        <w:t>参与导师教学活动，以提高学生的教学研究能力</w:t>
      </w:r>
      <w:r>
        <w:rPr>
          <w:rFonts w:ascii="仿宋" w:hAnsi="仿宋" w:eastAsia="仿宋" w:cs="仿宋"/>
          <w:sz w:val="28"/>
          <w:szCs w:val="28"/>
          <w:lang w:val="zh-TW"/>
        </w:rPr>
        <w:t>。</w:t>
      </w:r>
    </w:p>
    <w:p>
      <w:pPr>
        <w:spacing w:line="520" w:lineRule="exact"/>
        <w:ind w:firstLine="562" w:firstLineChars="200"/>
        <w:outlineLvl w:val="1"/>
        <w:rPr>
          <w:rFonts w:ascii="仿宋" w:hAnsi="仿宋" w:eastAsia="仿宋" w:cs="仿宋"/>
          <w:sz w:val="28"/>
          <w:szCs w:val="28"/>
        </w:rPr>
      </w:pPr>
      <w:bookmarkStart w:id="20" w:name="_Toc99784407"/>
      <w:r>
        <w:rPr>
          <w:rFonts w:hint="eastAsia" w:ascii="仿宋" w:hAnsi="仿宋" w:eastAsia="仿宋" w:cs="仿宋"/>
          <w:b/>
          <w:bCs/>
          <w:sz w:val="28"/>
          <w:szCs w:val="28"/>
        </w:rPr>
        <w:t>（六）管理服务</w:t>
      </w:r>
      <w:bookmarkEnd w:id="20"/>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配齐、建强研究生导师、辅导员、班主任、学生骨干4支队伍，加强培训，落实津贴，持续提升思政队伍的素质能力和专业水平。全面落实学校《研究生导师立德树人职责实施细则》，充分发挥研究生导师在研究生思政教育中的首要责任人作用。积极参与辅导员实务论坛，建好辅导员工作室，促进专业化、职业化发展。选聘名师兼任班主任，完善考核表彰机制。</w:t>
      </w:r>
    </w:p>
    <w:p>
      <w:pPr>
        <w:pStyle w:val="4"/>
        <w:spacing w:before="0" w:after="0" w:line="415" w:lineRule="auto"/>
        <w:ind w:firstLine="562" w:firstLineChars="200"/>
        <w:rPr>
          <w:rFonts w:ascii="仿宋" w:hAnsi="仿宋" w:eastAsia="仿宋" w:cs="仿宋"/>
          <w:sz w:val="28"/>
          <w:szCs w:val="28"/>
        </w:rPr>
      </w:pPr>
      <w:bookmarkStart w:id="21" w:name="_Toc99784408"/>
      <w:r>
        <w:rPr>
          <w:rFonts w:hint="eastAsia" w:ascii="仿宋" w:hAnsi="仿宋" w:eastAsia="仿宋" w:cs="仿宋"/>
          <w:sz w:val="28"/>
          <w:szCs w:val="28"/>
        </w:rPr>
        <w:t>（七）就业发展</w:t>
      </w:r>
      <w:bookmarkEnd w:id="21"/>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27位毕业生就业率为100%，就职于党政机关、高等教育单位、中初等教育单位的毕业生分别为3人、</w:t>
      </w:r>
      <w:r>
        <w:rPr>
          <w:rFonts w:ascii="仿宋" w:hAnsi="仿宋" w:eastAsia="仿宋" w:cs="仿宋"/>
          <w:sz w:val="28"/>
          <w:szCs w:val="28"/>
        </w:rPr>
        <w:t>10</w:t>
      </w:r>
      <w:r>
        <w:rPr>
          <w:rFonts w:hint="eastAsia" w:ascii="仿宋" w:hAnsi="仿宋" w:eastAsia="仿宋" w:cs="仿宋"/>
          <w:sz w:val="28"/>
          <w:szCs w:val="28"/>
        </w:rPr>
        <w:t>人、14人。</w:t>
      </w:r>
    </w:p>
    <w:p>
      <w:pPr>
        <w:spacing w:line="520" w:lineRule="exact"/>
        <w:ind w:firstLine="640" w:firstLineChars="200"/>
        <w:outlineLvl w:val="0"/>
        <w:rPr>
          <w:rFonts w:ascii="仿宋" w:hAnsi="仿宋" w:eastAsia="仿宋" w:cs="仿宋"/>
          <w:sz w:val="28"/>
          <w:szCs w:val="28"/>
        </w:rPr>
      </w:pPr>
      <w:bookmarkStart w:id="22" w:name="_Toc99784409"/>
      <w:r>
        <w:rPr>
          <w:rFonts w:hint="eastAsia" w:ascii="黑体" w:hAnsi="黑体" w:eastAsia="黑体" w:cs="黑体"/>
          <w:sz w:val="32"/>
          <w:szCs w:val="32"/>
        </w:rPr>
        <w:t>三、社会服务情况</w:t>
      </w:r>
      <w:bookmarkEnd w:id="22"/>
    </w:p>
    <w:p>
      <w:pPr>
        <w:spacing w:line="520" w:lineRule="exact"/>
        <w:ind w:firstLine="562" w:firstLineChars="200"/>
        <w:outlineLvl w:val="1"/>
        <w:rPr>
          <w:rFonts w:ascii="仿宋" w:hAnsi="仿宋" w:eastAsia="仿宋" w:cs="仿宋"/>
          <w:sz w:val="28"/>
          <w:szCs w:val="28"/>
        </w:rPr>
      </w:pPr>
      <w:bookmarkStart w:id="23" w:name="_Toc99784410"/>
      <w:r>
        <w:rPr>
          <w:rFonts w:hint="eastAsia" w:ascii="仿宋" w:hAnsi="仿宋" w:eastAsia="仿宋" w:cs="仿宋"/>
          <w:b/>
          <w:bCs/>
          <w:sz w:val="28"/>
          <w:szCs w:val="28"/>
        </w:rPr>
        <w:t>（一）科研成果转化情况</w:t>
      </w:r>
      <w:bookmarkEnd w:id="23"/>
    </w:p>
    <w:p>
      <w:pPr>
        <w:spacing w:line="520" w:lineRule="exact"/>
        <w:ind w:firstLine="560" w:firstLineChars="200"/>
        <w:rPr>
          <w:rFonts w:ascii="仿宋" w:hAnsi="仿宋" w:eastAsia="仿宋" w:cs="仿宋"/>
          <w:b/>
          <w:sz w:val="28"/>
          <w:szCs w:val="28"/>
        </w:rPr>
      </w:pPr>
      <w:r>
        <w:rPr>
          <w:rFonts w:hint="eastAsia" w:ascii="仿宋" w:hAnsi="仿宋" w:eastAsia="仿宋" w:cs="仿宋"/>
          <w:sz w:val="28"/>
          <w:szCs w:val="28"/>
        </w:rPr>
        <w:t>以社会主义核心价值观研究与宣传为重点，开展习近平总书记“七一”重要讲话、党的十九届六中全会精神宣讲，“习近平新时代中国特色社会主义思想融入中小学思政课”等专题辅导讲座，辐射3万余人；在《人民日报》《光明日报》等“三报一刊”发表6篇理论文章，对党的大政方针进行理论阐释和普及，扎实推进社会主义核心价值观入脑入心、落实落细。</w:t>
      </w:r>
    </w:p>
    <w:p>
      <w:pPr>
        <w:spacing w:line="520" w:lineRule="exact"/>
        <w:ind w:firstLine="419" w:firstLineChars="149"/>
        <w:outlineLvl w:val="1"/>
        <w:rPr>
          <w:rFonts w:ascii="仿宋" w:hAnsi="仿宋" w:eastAsia="仿宋" w:cs="仿宋"/>
          <w:b/>
          <w:bCs/>
          <w:sz w:val="28"/>
          <w:szCs w:val="28"/>
        </w:rPr>
      </w:pPr>
      <w:bookmarkStart w:id="24" w:name="_Toc99784411"/>
      <w:r>
        <w:rPr>
          <w:rFonts w:hint="eastAsia" w:ascii="仿宋" w:hAnsi="仿宋" w:eastAsia="仿宋" w:cs="仿宋"/>
          <w:b/>
          <w:bCs/>
          <w:sz w:val="28"/>
          <w:szCs w:val="28"/>
        </w:rPr>
        <w:t>（二）服务地方经济社会发展情况</w:t>
      </w:r>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植根浙江“高质量发展建设共同富裕示范区”政治优势，通过出版系列丛书，总结中国特色社会主义理论在浙江的实践成果，加强理论解读，宣传浙江改革开放以来的成功经验。组织“大梦想+”团队70余名研究生赴广西龙州接力支教，依托“精神扶志、精准扶智”，通过“软扶持与硬帮扶结合、职前职后结合、产教结合”的“大思政”实践育人新模式，致力于“教育治贫”，助力龙州进一步推动共同富裕建设。</w:t>
      </w:r>
    </w:p>
    <w:p>
      <w:pPr>
        <w:pStyle w:val="4"/>
        <w:spacing w:before="0" w:after="0" w:line="415" w:lineRule="auto"/>
        <w:ind w:firstLine="281" w:firstLineChars="100"/>
        <w:rPr>
          <w:rFonts w:ascii="仿宋" w:hAnsi="仿宋" w:eastAsia="仿宋" w:cs="仿宋"/>
          <w:sz w:val="28"/>
          <w:szCs w:val="28"/>
        </w:rPr>
      </w:pPr>
      <w:bookmarkStart w:id="25" w:name="_Toc99784412"/>
      <w:bookmarkStart w:id="29" w:name="_GoBack"/>
      <w:bookmarkEnd w:id="29"/>
      <w:r>
        <w:rPr>
          <w:rFonts w:hint="eastAsia" w:ascii="仿宋" w:hAnsi="仿宋" w:eastAsia="仿宋" w:cs="仿宋"/>
          <w:sz w:val="28"/>
          <w:szCs w:val="28"/>
        </w:rPr>
        <w:t>（三）助力发展地方文化情况</w:t>
      </w:r>
      <w:bookmarkEnd w:id="25"/>
    </w:p>
    <w:p>
      <w:p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以“浙学传承与地方治理现代化”省2011协同创新中心为依托，通过</w:t>
      </w:r>
      <w:r>
        <w:rPr>
          <w:rFonts w:hint="eastAsia" w:ascii="仿宋" w:hAnsi="仿宋" w:eastAsia="仿宋" w:cs="仿宋"/>
          <w:bCs/>
          <w:sz w:val="28"/>
          <w:szCs w:val="28"/>
        </w:rPr>
        <w:t>创办学术集刊，搭建研究平台；举办高端会议，促进学术交流；弘扬浙学精神，引导社会舆论。</w:t>
      </w:r>
      <w:r>
        <w:rPr>
          <w:rFonts w:hint="eastAsia" w:ascii="仿宋" w:hAnsi="仿宋" w:eastAsia="仿宋" w:cs="仿宋"/>
          <w:sz w:val="28"/>
          <w:szCs w:val="28"/>
        </w:rPr>
        <w:t>创造性继承传统文化尤其“浙学”优秀成分，吸收现代治理思想，为推进省域、国家治理体系和治理能力现代化提供理论参考和咨询。</w:t>
      </w:r>
      <w:r>
        <w:rPr>
          <w:rFonts w:hint="eastAsia" w:ascii="仿宋" w:hAnsi="仿宋" w:eastAsia="仿宋" w:cs="仿宋"/>
          <w:sz w:val="28"/>
          <w:szCs w:val="28"/>
          <w:lang w:eastAsia="zh-CN"/>
        </w:rPr>
        <w:t>组建</w:t>
      </w:r>
      <w:r>
        <w:rPr>
          <w:rFonts w:hint="eastAsia" w:ascii="仿宋" w:hAnsi="仿宋" w:eastAsia="仿宋" w:cs="仿宋"/>
          <w:sz w:val="28"/>
          <w:szCs w:val="28"/>
          <w:highlight w:val="none"/>
          <w:lang w:eastAsia="zh-CN"/>
        </w:rPr>
        <w:t>马克思主义基本原理与中国具体实际、与中华优秀传统文化</w:t>
      </w:r>
      <w:r>
        <w:rPr>
          <w:rFonts w:hint="eastAsia" w:ascii="仿宋" w:hAnsi="仿宋" w:eastAsia="仿宋" w:cs="仿宋"/>
          <w:sz w:val="28"/>
          <w:szCs w:val="28"/>
          <w:highlight w:val="none"/>
          <w:lang w:val="en-US" w:eastAsia="zh-CN"/>
        </w:rPr>
        <w:t>2个方向的双“百千万”</w:t>
      </w:r>
      <w:r>
        <w:rPr>
          <w:rFonts w:hint="eastAsia" w:ascii="仿宋" w:hAnsi="仿宋" w:eastAsia="仿宋" w:cs="仿宋"/>
          <w:sz w:val="28"/>
          <w:szCs w:val="28"/>
          <w:highlight w:val="none"/>
          <w:lang w:eastAsia="zh-CN"/>
        </w:rPr>
        <w:t>宣讲团队、浙师新时代“</w:t>
      </w:r>
      <w:r>
        <w:rPr>
          <w:rFonts w:hint="eastAsia" w:ascii="仿宋" w:hAnsi="仿宋" w:eastAsia="仿宋" w:cs="仿宋"/>
          <w:sz w:val="28"/>
          <w:szCs w:val="28"/>
          <w:highlight w:val="none"/>
          <w:lang w:val="en-US" w:eastAsia="zh-CN"/>
        </w:rPr>
        <w:t>00”大学生理论宣讲团，累计开展各类宣讲百余场</w:t>
      </w:r>
      <w:r>
        <w:rPr>
          <w:rFonts w:hint="eastAsia" w:ascii="仿宋" w:hAnsi="仿宋" w:eastAsia="仿宋" w:cs="仿宋"/>
          <w:sz w:val="28"/>
          <w:szCs w:val="28"/>
          <w:lang w:val="en-US" w:eastAsia="zh-CN"/>
        </w:rPr>
        <w:t>次。</w:t>
      </w:r>
      <w:r>
        <w:rPr>
          <w:rFonts w:hint="eastAsia" w:ascii="仿宋" w:hAnsi="仿宋" w:eastAsia="仿宋" w:cs="仿宋"/>
          <w:sz w:val="28"/>
          <w:szCs w:val="28"/>
          <w:highlight w:val="none"/>
          <w:lang w:eastAsia="zh-CN"/>
        </w:rPr>
        <w:t>浙师新时代“</w:t>
      </w:r>
      <w:r>
        <w:rPr>
          <w:rFonts w:hint="eastAsia" w:ascii="仿宋" w:hAnsi="仿宋" w:eastAsia="仿宋" w:cs="仿宋"/>
          <w:sz w:val="28"/>
          <w:szCs w:val="28"/>
          <w:highlight w:val="none"/>
          <w:lang w:val="en-US" w:eastAsia="zh-CN"/>
        </w:rPr>
        <w:t>00”大学生理论宣讲团被浙江省委宣传部授予“2021年</w:t>
      </w:r>
      <w:r>
        <w:rPr>
          <w:rFonts w:hint="eastAsia" w:ascii="仿宋" w:hAnsi="仿宋" w:eastAsia="仿宋" w:cs="仿宋"/>
          <w:sz w:val="28"/>
          <w:szCs w:val="28"/>
          <w:lang w:val="en-US" w:eastAsia="zh-CN"/>
        </w:rPr>
        <w:t>浙江省基层理论宣讲成绩突出集体”。</w:t>
      </w:r>
    </w:p>
    <w:p>
      <w:pPr>
        <w:spacing w:line="520" w:lineRule="exact"/>
        <w:ind w:firstLine="640" w:firstLineChars="200"/>
        <w:outlineLvl w:val="0"/>
        <w:rPr>
          <w:rFonts w:ascii="黑体" w:hAnsi="黑体" w:eastAsia="黑体" w:cs="黑体"/>
          <w:sz w:val="32"/>
          <w:szCs w:val="32"/>
        </w:rPr>
      </w:pPr>
      <w:bookmarkStart w:id="26" w:name="_Toc99784413"/>
      <w:r>
        <w:rPr>
          <w:rFonts w:hint="eastAsia" w:ascii="黑体" w:hAnsi="黑体" w:eastAsia="黑体" w:cs="黑体"/>
          <w:sz w:val="32"/>
          <w:szCs w:val="32"/>
        </w:rPr>
        <w:t>四、学位点建设存在的主要问题</w:t>
      </w:r>
      <w:bookmarkEnd w:id="26"/>
    </w:p>
    <w:p>
      <w:pPr>
        <w:spacing w:line="520" w:lineRule="exact"/>
        <w:ind w:firstLine="562" w:firstLineChars="200"/>
        <w:rPr>
          <w:rFonts w:ascii="仿宋" w:hAnsi="仿宋" w:eastAsia="仿宋"/>
          <w:sz w:val="28"/>
          <w:szCs w:val="28"/>
        </w:rPr>
      </w:pPr>
      <w:r>
        <w:rPr>
          <w:rFonts w:hint="eastAsia" w:ascii="仿宋" w:hAnsi="仿宋" w:eastAsia="仿宋"/>
          <w:b/>
          <w:sz w:val="28"/>
          <w:szCs w:val="28"/>
        </w:rPr>
        <w:t>（一）师资队伍结构有待进一步优化。</w:t>
      </w:r>
      <w:r>
        <w:rPr>
          <w:rFonts w:hint="eastAsia" w:ascii="仿宋" w:hAnsi="仿宋" w:eastAsia="仿宋"/>
          <w:bCs/>
          <w:sz w:val="28"/>
          <w:szCs w:val="28"/>
        </w:rPr>
        <w:t>高层次学科带头人短缺，年龄结构有待于优化，</w:t>
      </w:r>
      <w:bookmarkStart w:id="27" w:name="_Hlk76846137"/>
      <w:r>
        <w:rPr>
          <w:rFonts w:hint="eastAsia" w:ascii="仿宋" w:hAnsi="仿宋" w:eastAsia="仿宋"/>
          <w:sz w:val="28"/>
          <w:szCs w:val="28"/>
        </w:rPr>
        <w:t>青年教师引育力度还需加大，重点培养中青年骨干教师和学科带头人还需加强。</w:t>
      </w:r>
    </w:p>
    <w:bookmarkEnd w:id="27"/>
    <w:p>
      <w:pPr>
        <w:spacing w:line="520" w:lineRule="exact"/>
        <w:ind w:firstLine="562" w:firstLineChars="200"/>
        <w:rPr>
          <w:rFonts w:ascii="仿宋" w:hAnsi="仿宋" w:eastAsia="仿宋"/>
          <w:sz w:val="28"/>
          <w:szCs w:val="28"/>
        </w:rPr>
      </w:pPr>
      <w:r>
        <w:rPr>
          <w:rFonts w:hint="eastAsia" w:ascii="仿宋" w:hAnsi="仿宋" w:eastAsia="仿宋"/>
          <w:b/>
          <w:sz w:val="28"/>
          <w:szCs w:val="28"/>
        </w:rPr>
        <w:t>（二）学科平台建设有待进一步提高。</w:t>
      </w:r>
      <w:r>
        <w:rPr>
          <w:rFonts w:hint="eastAsia" w:ascii="仿宋" w:hAnsi="仿宋" w:eastAsia="仿宋"/>
          <w:sz w:val="28"/>
          <w:szCs w:val="28"/>
        </w:rPr>
        <w:t>虽有国家一流专业、省一流学科、省协同创新中心等教学科研平台，但为更好满足学科建设对高层次师资的需求，还需加大博士点等高层次平台的培育与建设。</w:t>
      </w:r>
    </w:p>
    <w:p>
      <w:pPr>
        <w:spacing w:line="520" w:lineRule="exact"/>
        <w:ind w:firstLine="562" w:firstLineChars="200"/>
        <w:rPr>
          <w:rFonts w:ascii="仿宋" w:hAnsi="仿宋" w:eastAsia="仿宋"/>
          <w:sz w:val="28"/>
          <w:szCs w:val="28"/>
        </w:rPr>
      </w:pPr>
      <w:r>
        <w:rPr>
          <w:rFonts w:hint="eastAsia" w:ascii="仿宋" w:hAnsi="仿宋" w:eastAsia="仿宋"/>
          <w:b/>
          <w:sz w:val="28"/>
          <w:szCs w:val="28"/>
        </w:rPr>
        <w:t>（三）社会服务能力有待进一步增强。</w:t>
      </w:r>
      <w:r>
        <w:rPr>
          <w:rFonts w:hint="eastAsia" w:ascii="仿宋" w:hAnsi="仿宋" w:eastAsia="仿宋"/>
          <w:sz w:val="28"/>
          <w:szCs w:val="28"/>
        </w:rPr>
        <w:t>虽在基础理论研究领域具有一定优势，但与本学科引领哲学社会科学发展的使命要求相比，还需进一步增强植根浙江的实践研究，提升社会影响，为“共同富裕示范区”建设提供强有力的学理支撑。</w:t>
      </w:r>
    </w:p>
    <w:p>
      <w:pPr>
        <w:spacing w:line="520" w:lineRule="exact"/>
        <w:ind w:firstLine="640" w:firstLineChars="200"/>
        <w:outlineLvl w:val="0"/>
        <w:rPr>
          <w:rFonts w:ascii="仿宋" w:hAnsi="仿宋" w:eastAsia="仿宋" w:cs="仿宋"/>
          <w:sz w:val="28"/>
          <w:szCs w:val="28"/>
        </w:rPr>
      </w:pPr>
      <w:bookmarkStart w:id="28" w:name="_Toc99784414"/>
      <w:r>
        <w:rPr>
          <w:rFonts w:hint="eastAsia" w:ascii="黑体" w:hAnsi="黑体" w:eastAsia="黑体" w:cs="黑体"/>
          <w:sz w:val="32"/>
          <w:szCs w:val="32"/>
        </w:rPr>
        <w:t>五、改进措施</w:t>
      </w:r>
      <w:bookmarkEnd w:id="28"/>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（一）强化队伍建设，加大省部级以上高层次人才和青年教师引育力度，重点培养中青年骨干教师和学科带头人。</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（二）强化平台建设，集聚各种资源，强化对外联络，全力冲击下一轮博士点申报。</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（三）强化社会服务，聚焦国家重大战略和区域经济社会发展需要，结合学科专业特点，组建服务团队，积极服务国家战略举措和区域经济社会发展。</w:t>
      </w:r>
    </w:p>
    <w:p>
      <w:pPr>
        <w:pStyle w:val="2"/>
        <w:spacing w:line="520" w:lineRule="exact"/>
        <w:ind w:firstLine="560"/>
        <w:rPr>
          <w:rFonts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both"/>
      <w:textAlignment w:val="baseline"/>
      <w:rPr>
        <w:rStyle w:val="19"/>
        <w:rFonts w:ascii="Times New Roman" w:hAnsi="Times New Roman"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both"/>
      <w:textAlignment w:val="baseline"/>
      <w:rPr>
        <w:rStyle w:val="19"/>
        <w:rFonts w:ascii="Times New Roman" w:hAnsi="Times New Roman" w:eastAsia="宋体"/>
        <w:sz w:val="28"/>
        <w:szCs w:val="28"/>
      </w:rPr>
    </w:pPr>
    <w:r>
      <w:rPr>
        <w:sz w:val="28"/>
      </w:rP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2F87"/>
    <w:rsid w:val="000037ED"/>
    <w:rsid w:val="00045ADE"/>
    <w:rsid w:val="00052818"/>
    <w:rsid w:val="000906EB"/>
    <w:rsid w:val="000A0BA7"/>
    <w:rsid w:val="000D0D8F"/>
    <w:rsid w:val="001124F9"/>
    <w:rsid w:val="00115AE7"/>
    <w:rsid w:val="00125E31"/>
    <w:rsid w:val="001362EB"/>
    <w:rsid w:val="001B660D"/>
    <w:rsid w:val="001D4219"/>
    <w:rsid w:val="00200BFF"/>
    <w:rsid w:val="00214F52"/>
    <w:rsid w:val="002516BC"/>
    <w:rsid w:val="00270891"/>
    <w:rsid w:val="002D0AF4"/>
    <w:rsid w:val="002D6A1B"/>
    <w:rsid w:val="00302998"/>
    <w:rsid w:val="00337B2D"/>
    <w:rsid w:val="00342A91"/>
    <w:rsid w:val="00347315"/>
    <w:rsid w:val="0036264A"/>
    <w:rsid w:val="00377D27"/>
    <w:rsid w:val="00401A0E"/>
    <w:rsid w:val="00413869"/>
    <w:rsid w:val="004155F3"/>
    <w:rsid w:val="0043306A"/>
    <w:rsid w:val="00436872"/>
    <w:rsid w:val="00440995"/>
    <w:rsid w:val="004764C2"/>
    <w:rsid w:val="004951B0"/>
    <w:rsid w:val="004A4727"/>
    <w:rsid w:val="004A5608"/>
    <w:rsid w:val="004B115F"/>
    <w:rsid w:val="004B1BA2"/>
    <w:rsid w:val="004C1AF3"/>
    <w:rsid w:val="004E6CA0"/>
    <w:rsid w:val="005020E4"/>
    <w:rsid w:val="005141C4"/>
    <w:rsid w:val="005567C7"/>
    <w:rsid w:val="00577A40"/>
    <w:rsid w:val="005D7716"/>
    <w:rsid w:val="005E4B07"/>
    <w:rsid w:val="005F608C"/>
    <w:rsid w:val="00602F87"/>
    <w:rsid w:val="00604AE2"/>
    <w:rsid w:val="0064252E"/>
    <w:rsid w:val="00642605"/>
    <w:rsid w:val="00664C27"/>
    <w:rsid w:val="00666159"/>
    <w:rsid w:val="006924B7"/>
    <w:rsid w:val="0072209D"/>
    <w:rsid w:val="007369A6"/>
    <w:rsid w:val="00746B73"/>
    <w:rsid w:val="00777D5C"/>
    <w:rsid w:val="007D2A0E"/>
    <w:rsid w:val="00815D08"/>
    <w:rsid w:val="00867615"/>
    <w:rsid w:val="008703E8"/>
    <w:rsid w:val="008D5E12"/>
    <w:rsid w:val="008E7E26"/>
    <w:rsid w:val="00940392"/>
    <w:rsid w:val="009516B0"/>
    <w:rsid w:val="0097296F"/>
    <w:rsid w:val="009A6CFA"/>
    <w:rsid w:val="009C5970"/>
    <w:rsid w:val="009D2942"/>
    <w:rsid w:val="009E0A2F"/>
    <w:rsid w:val="009E6190"/>
    <w:rsid w:val="00A0364C"/>
    <w:rsid w:val="00A108D0"/>
    <w:rsid w:val="00A443DB"/>
    <w:rsid w:val="00A46056"/>
    <w:rsid w:val="00A838FF"/>
    <w:rsid w:val="00A91FA6"/>
    <w:rsid w:val="00AA165E"/>
    <w:rsid w:val="00AD05E0"/>
    <w:rsid w:val="00AF1C00"/>
    <w:rsid w:val="00B05533"/>
    <w:rsid w:val="00B173B0"/>
    <w:rsid w:val="00B23CB7"/>
    <w:rsid w:val="00B30B1A"/>
    <w:rsid w:val="00B36425"/>
    <w:rsid w:val="00B72593"/>
    <w:rsid w:val="00BC602D"/>
    <w:rsid w:val="00C31A34"/>
    <w:rsid w:val="00C512B1"/>
    <w:rsid w:val="00CB5D48"/>
    <w:rsid w:val="00D72909"/>
    <w:rsid w:val="00DA4B70"/>
    <w:rsid w:val="00E0143C"/>
    <w:rsid w:val="00E357A5"/>
    <w:rsid w:val="00E9679F"/>
    <w:rsid w:val="00ED49C9"/>
    <w:rsid w:val="00FC1A87"/>
    <w:rsid w:val="00FC39A8"/>
    <w:rsid w:val="01075599"/>
    <w:rsid w:val="013A143E"/>
    <w:rsid w:val="03C7111D"/>
    <w:rsid w:val="03D67D30"/>
    <w:rsid w:val="0661364F"/>
    <w:rsid w:val="07053D26"/>
    <w:rsid w:val="076C7238"/>
    <w:rsid w:val="07936C0E"/>
    <w:rsid w:val="07F60AAA"/>
    <w:rsid w:val="0A6E40DD"/>
    <w:rsid w:val="0A8345FA"/>
    <w:rsid w:val="0EDA40E2"/>
    <w:rsid w:val="111C737D"/>
    <w:rsid w:val="116869F1"/>
    <w:rsid w:val="12383B02"/>
    <w:rsid w:val="128531E4"/>
    <w:rsid w:val="1447675B"/>
    <w:rsid w:val="16527180"/>
    <w:rsid w:val="165D0F4B"/>
    <w:rsid w:val="17130B71"/>
    <w:rsid w:val="17854502"/>
    <w:rsid w:val="181548F9"/>
    <w:rsid w:val="18BE332A"/>
    <w:rsid w:val="19E26BE5"/>
    <w:rsid w:val="1B7B3C6A"/>
    <w:rsid w:val="1BD13E85"/>
    <w:rsid w:val="1C0A71D4"/>
    <w:rsid w:val="1C4F39CF"/>
    <w:rsid w:val="1CD13F56"/>
    <w:rsid w:val="1D260BB6"/>
    <w:rsid w:val="1E2F35E2"/>
    <w:rsid w:val="1E696690"/>
    <w:rsid w:val="1EDF6CDA"/>
    <w:rsid w:val="20602B1D"/>
    <w:rsid w:val="214F48D9"/>
    <w:rsid w:val="22C51D19"/>
    <w:rsid w:val="247C7D7D"/>
    <w:rsid w:val="26855CE1"/>
    <w:rsid w:val="2833725C"/>
    <w:rsid w:val="28A15125"/>
    <w:rsid w:val="29763613"/>
    <w:rsid w:val="29B74DF1"/>
    <w:rsid w:val="2C747D8A"/>
    <w:rsid w:val="2CF2620A"/>
    <w:rsid w:val="2DA10E09"/>
    <w:rsid w:val="2DA412DA"/>
    <w:rsid w:val="2E350CC0"/>
    <w:rsid w:val="2E651941"/>
    <w:rsid w:val="30BF76D4"/>
    <w:rsid w:val="312E4859"/>
    <w:rsid w:val="316E269A"/>
    <w:rsid w:val="31BC1B00"/>
    <w:rsid w:val="32060105"/>
    <w:rsid w:val="34B53118"/>
    <w:rsid w:val="377F75DA"/>
    <w:rsid w:val="37EC673D"/>
    <w:rsid w:val="382F6BCE"/>
    <w:rsid w:val="3D6D5783"/>
    <w:rsid w:val="3ED506CC"/>
    <w:rsid w:val="40067699"/>
    <w:rsid w:val="40341628"/>
    <w:rsid w:val="41A20A06"/>
    <w:rsid w:val="42D543C0"/>
    <w:rsid w:val="433F0074"/>
    <w:rsid w:val="44B21D0A"/>
    <w:rsid w:val="457B0D80"/>
    <w:rsid w:val="45D1054E"/>
    <w:rsid w:val="460D74FE"/>
    <w:rsid w:val="464B3DD2"/>
    <w:rsid w:val="46537C3F"/>
    <w:rsid w:val="46730D51"/>
    <w:rsid w:val="46C437DB"/>
    <w:rsid w:val="47B90716"/>
    <w:rsid w:val="483E2114"/>
    <w:rsid w:val="484872ED"/>
    <w:rsid w:val="48E11085"/>
    <w:rsid w:val="4A803429"/>
    <w:rsid w:val="4C263D9D"/>
    <w:rsid w:val="4F6268AD"/>
    <w:rsid w:val="4FB8497D"/>
    <w:rsid w:val="5125339D"/>
    <w:rsid w:val="52A934CA"/>
    <w:rsid w:val="52B257A5"/>
    <w:rsid w:val="53AD4E5A"/>
    <w:rsid w:val="53D37C52"/>
    <w:rsid w:val="54F75070"/>
    <w:rsid w:val="5574488B"/>
    <w:rsid w:val="55D03683"/>
    <w:rsid w:val="56F06F65"/>
    <w:rsid w:val="57D96839"/>
    <w:rsid w:val="5849694E"/>
    <w:rsid w:val="58546CC1"/>
    <w:rsid w:val="59151ABA"/>
    <w:rsid w:val="599D0572"/>
    <w:rsid w:val="5A0C61CE"/>
    <w:rsid w:val="5A6D1149"/>
    <w:rsid w:val="5B557525"/>
    <w:rsid w:val="5E547554"/>
    <w:rsid w:val="5EFB6821"/>
    <w:rsid w:val="5FFB68ED"/>
    <w:rsid w:val="6002473E"/>
    <w:rsid w:val="60927013"/>
    <w:rsid w:val="61850D32"/>
    <w:rsid w:val="620779F8"/>
    <w:rsid w:val="63BE042F"/>
    <w:rsid w:val="64B841CA"/>
    <w:rsid w:val="6550743A"/>
    <w:rsid w:val="67B525AD"/>
    <w:rsid w:val="695604EE"/>
    <w:rsid w:val="69D72077"/>
    <w:rsid w:val="6A3C3963"/>
    <w:rsid w:val="6B3C52FC"/>
    <w:rsid w:val="6DC016FF"/>
    <w:rsid w:val="6FC41A45"/>
    <w:rsid w:val="6FD8020C"/>
    <w:rsid w:val="72934219"/>
    <w:rsid w:val="747D229B"/>
    <w:rsid w:val="75253CA8"/>
    <w:rsid w:val="75877004"/>
    <w:rsid w:val="76D14D1F"/>
    <w:rsid w:val="76DD2254"/>
    <w:rsid w:val="79423C5A"/>
    <w:rsid w:val="7BBD337D"/>
    <w:rsid w:val="7CEC57D4"/>
    <w:rsid w:val="7D2D5AB1"/>
    <w:rsid w:val="7DBC569A"/>
    <w:rsid w:val="7EA336C9"/>
    <w:rsid w:val="7F070015"/>
    <w:rsid w:val="7FA87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qFormat/>
    <w:uiPriority w:val="0"/>
    <w:pPr>
      <w:jc w:val="left"/>
    </w:pPr>
  </w:style>
  <w:style w:type="paragraph" w:styleId="6">
    <w:name w:val="toc 3"/>
    <w:basedOn w:val="1"/>
    <w:next w:val="1"/>
    <w:uiPriority w:val="39"/>
    <w:pPr>
      <w:ind w:left="840" w:leftChars="4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unhideWhenUsed/>
    <w:qFormat/>
    <w:uiPriority w:val="39"/>
    <w:pPr>
      <w:widowControl/>
      <w:tabs>
        <w:tab w:val="right" w:leader="dot" w:pos="10320"/>
      </w:tabs>
      <w:spacing w:after="100" w:line="259" w:lineRule="auto"/>
      <w:ind w:left="220"/>
      <w:jc w:val="left"/>
    </w:pPr>
    <w:rPr>
      <w:rFonts w:cs="Times New Roman"/>
      <w:b/>
      <w:bCs/>
      <w:kern w:val="0"/>
      <w:sz w:val="22"/>
      <w:szCs w:val="22"/>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4"/>
    <w:unhideWhenUsed/>
    <w:qFormat/>
    <w:uiPriority w:val="0"/>
    <w:rPr>
      <w:rFonts w:ascii="Calibri" w:hAnsi="Calibri" w:eastAsia="宋体" w:cs="Times New Roman"/>
      <w:b/>
      <w:bCs/>
      <w:kern w:val="0"/>
      <w:sz w:val="22"/>
      <w:szCs w:val="22"/>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qFormat/>
    <w:uiPriority w:val="0"/>
    <w:rPr>
      <w:rFonts w:ascii="Times New Roman" w:hAnsi="Times New Roman" w:eastAsia="宋体" w:cs="Times New Roman"/>
      <w:color w:val="800080"/>
      <w:u w:val="single"/>
    </w:rPr>
  </w:style>
  <w:style w:type="character" w:styleId="18">
    <w:name w:val="Hyperlink"/>
    <w:basedOn w:val="16"/>
    <w:unhideWhenUsed/>
    <w:qFormat/>
    <w:uiPriority w:val="99"/>
    <w:rPr>
      <w:color w:val="0563C1" w:themeColor="hyperlink"/>
      <w:u w:val="single"/>
    </w:rPr>
  </w:style>
  <w:style w:type="character" w:customStyle="1" w:styleId="19">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0">
    <w:name w:val="Table Paragraph"/>
    <w:basedOn w:val="1"/>
    <w:qFormat/>
    <w:uiPriority w:val="99"/>
  </w:style>
  <w:style w:type="table" w:customStyle="1" w:styleId="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中等深浅列表 2 - 着色 21"/>
    <w:qFormat/>
    <w:uiPriority w:val="0"/>
    <w:rPr>
      <w:rFonts w:ascii="Times New Roman" w:hAnsi="Times New Roman" w:eastAsia="宋体" w:cs="Times New Roman"/>
      <w:kern w:val="2"/>
      <w:sz w:val="21"/>
      <w:szCs w:val="24"/>
      <w:lang w:val="en-US" w:eastAsia="zh-CN" w:bidi="ar-SA"/>
    </w:rPr>
  </w:style>
  <w:style w:type="character" w:customStyle="1" w:styleId="23">
    <w:name w:val="批注文字 字符"/>
    <w:basedOn w:val="16"/>
    <w:link w:val="5"/>
    <w:qFormat/>
    <w:uiPriority w:val="0"/>
    <w:rPr>
      <w:kern w:val="2"/>
      <w:sz w:val="21"/>
      <w:szCs w:val="24"/>
    </w:rPr>
  </w:style>
  <w:style w:type="character" w:customStyle="1" w:styleId="24">
    <w:name w:val="批注主题 字符"/>
    <w:basedOn w:val="23"/>
    <w:link w:val="13"/>
    <w:qFormat/>
    <w:uiPriority w:val="0"/>
    <w:rPr>
      <w:rFonts w:ascii="Calibri" w:hAnsi="Calibri" w:eastAsia="宋体" w:cs="Times New Roman"/>
      <w:b/>
      <w:bCs/>
      <w:kern w:val="2"/>
      <w:sz w:val="22"/>
      <w:szCs w:val="22"/>
      <w:lang w:eastAsia="en-US"/>
    </w:rPr>
  </w:style>
  <w:style w:type="table" w:customStyle="1" w:styleId="25">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font11"/>
    <w:basedOn w:val="16"/>
    <w:qFormat/>
    <w:uiPriority w:val="0"/>
    <w:rPr>
      <w:rFonts w:hint="eastAsia" w:ascii="仿宋" w:hAnsi="仿宋" w:eastAsia="仿宋" w:cs="仿宋"/>
      <w:color w:val="000000"/>
      <w:sz w:val="22"/>
      <w:szCs w:val="22"/>
      <w:u w:val="none"/>
    </w:rPr>
  </w:style>
  <w:style w:type="character" w:customStyle="1" w:styleId="27">
    <w:name w:val="font21"/>
    <w:basedOn w:val="16"/>
    <w:qFormat/>
    <w:uiPriority w:val="0"/>
    <w:rPr>
      <w:rFonts w:ascii="Arial" w:hAnsi="Arial" w:cs="Arial"/>
      <w:color w:val="000000"/>
      <w:sz w:val="22"/>
      <w:szCs w:val="22"/>
      <w:u w:val="none"/>
    </w:rPr>
  </w:style>
  <w:style w:type="character" w:customStyle="1" w:styleId="28">
    <w:name w:val="font31"/>
    <w:basedOn w:val="16"/>
    <w:qFormat/>
    <w:uiPriority w:val="0"/>
    <w:rPr>
      <w:rFonts w:hint="default" w:ascii="Arial" w:hAnsi="Arial" w:cs="Arial"/>
      <w:color w:val="000000"/>
      <w:sz w:val="22"/>
      <w:szCs w:val="22"/>
      <w:u w:val="none"/>
    </w:rPr>
  </w:style>
  <w:style w:type="character" w:customStyle="1" w:styleId="29">
    <w:name w:val="font41"/>
    <w:basedOn w:val="16"/>
    <w:qFormat/>
    <w:uiPriority w:val="0"/>
    <w:rPr>
      <w:rFonts w:ascii="Arial" w:hAnsi="Arial" w:cs="Arial"/>
      <w:color w:val="000000"/>
      <w:sz w:val="22"/>
      <w:szCs w:val="22"/>
      <w:u w:val="none"/>
    </w:rPr>
  </w:style>
  <w:style w:type="character" w:customStyle="1" w:styleId="30">
    <w:name w:val="标题 1 字符"/>
    <w:basedOn w:val="16"/>
    <w:link w:val="3"/>
    <w:qFormat/>
    <w:uiPriority w:val="0"/>
    <w:rPr>
      <w:rFonts w:asciiTheme="minorHAnsi" w:hAnsiTheme="minorHAnsi" w:eastAsiaTheme="minorEastAsia" w:cstheme="minorBidi"/>
      <w:b/>
      <w:bCs/>
      <w:kern w:val="44"/>
      <w:sz w:val="44"/>
      <w:szCs w:val="44"/>
    </w:rPr>
  </w:style>
  <w:style w:type="paragraph" w:customStyle="1" w:styleId="31">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2">
    <w:name w:val="标题 2 字符"/>
    <w:basedOn w:val="16"/>
    <w:link w:val="4"/>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50659-31EB-4530-84FF-E6800FF22771}">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5330</Words>
  <Characters>5423</Characters>
  <Lines>46</Lines>
  <Paragraphs>13</Paragraphs>
  <TotalTime>8</TotalTime>
  <ScaleCrop>false</ScaleCrop>
  <LinksUpToDate>false</LinksUpToDate>
  <CharactersWithSpaces>5490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2022-03-24T07:44:00Z</dcterms:created>
  <dc:creator>HP</dc:creator>
  <cp:lastModifiedBy>郤江波</cp:lastModifiedBy>
  <cp:lastPrinted>2021-03-08T02:18:00Z</cp:lastPrinted>
  <dcterms:modified xsi:type="dcterms:W3CDTF">2022-04-02T07:06:56Z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127DDF807DE4416FB8106BF778AD0B04</vt:lpwstr>
  </property>
</Properties>
</file>